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FBFE" w14:textId="77777777" w:rsidR="00BB1F81" w:rsidRDefault="00BB1F81">
      <w:pPr>
        <w:pStyle w:val="Corpodetexto"/>
        <w:rPr>
          <w:rFonts w:ascii="Times New Roman"/>
          <w:sz w:val="20"/>
        </w:rPr>
      </w:pPr>
    </w:p>
    <w:p w14:paraId="6B5C087A" w14:textId="77777777" w:rsidR="00BB1F81" w:rsidRDefault="00BB1F81">
      <w:pPr>
        <w:pStyle w:val="Corpodetexto"/>
        <w:spacing w:before="10"/>
        <w:rPr>
          <w:rFonts w:ascii="Times New Roman"/>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8047"/>
      </w:tblGrid>
      <w:tr w:rsidR="00BB1F81" w14:paraId="4C41D9EA" w14:textId="77777777">
        <w:trPr>
          <w:trHeight w:val="275"/>
        </w:trPr>
        <w:tc>
          <w:tcPr>
            <w:tcW w:w="9631" w:type="dxa"/>
            <w:gridSpan w:val="2"/>
            <w:shd w:val="clear" w:color="auto" w:fill="B1B1B1"/>
          </w:tcPr>
          <w:p w14:paraId="44BE1BEB" w14:textId="77777777" w:rsidR="00BB1F81" w:rsidRDefault="00153306">
            <w:pPr>
              <w:pStyle w:val="TableParagraph"/>
              <w:spacing w:line="255" w:lineRule="exact"/>
              <w:ind w:left="3762" w:right="3751"/>
              <w:jc w:val="center"/>
              <w:rPr>
                <w:b/>
                <w:sz w:val="24"/>
              </w:rPr>
            </w:pPr>
            <w:r>
              <w:rPr>
                <w:b/>
                <w:sz w:val="24"/>
              </w:rPr>
              <w:t>ATA DE REUNIÃO</w:t>
            </w:r>
          </w:p>
        </w:tc>
      </w:tr>
      <w:tr w:rsidR="00BB1F81" w14:paraId="1CA97143" w14:textId="77777777" w:rsidTr="00B34B32">
        <w:trPr>
          <w:trHeight w:val="2021"/>
        </w:trPr>
        <w:tc>
          <w:tcPr>
            <w:tcW w:w="1584" w:type="dxa"/>
            <w:vAlign w:val="center"/>
          </w:tcPr>
          <w:p w14:paraId="30263ADB" w14:textId="77777777" w:rsidR="00BB1F81" w:rsidRDefault="00153306" w:rsidP="00AD7FC9">
            <w:pPr>
              <w:pStyle w:val="TableParagraph"/>
              <w:spacing w:before="184"/>
              <w:ind w:left="0" w:right="77"/>
              <w:jc w:val="center"/>
              <w:rPr>
                <w:b/>
                <w:sz w:val="24"/>
              </w:rPr>
            </w:pPr>
            <w:r>
              <w:rPr>
                <w:b/>
                <w:color w:val="252525"/>
                <w:sz w:val="24"/>
              </w:rPr>
              <w:t>Membros presentes:</w:t>
            </w:r>
          </w:p>
        </w:tc>
        <w:tc>
          <w:tcPr>
            <w:tcW w:w="8047" w:type="dxa"/>
          </w:tcPr>
          <w:p w14:paraId="45ACC08B" w14:textId="1E03BF9E" w:rsidR="00BB1F81" w:rsidRDefault="00153306" w:rsidP="00A93AB2">
            <w:pPr>
              <w:pStyle w:val="TableParagraph"/>
              <w:ind w:left="108" w:right="116"/>
              <w:jc w:val="both"/>
              <w:rPr>
                <w:color w:val="221F1F"/>
                <w:sz w:val="24"/>
              </w:rPr>
            </w:pPr>
            <w:r>
              <w:rPr>
                <w:b/>
                <w:color w:val="221F1F"/>
                <w:sz w:val="24"/>
              </w:rPr>
              <w:t xml:space="preserve">Mário Soares Caymmi Gomes </w:t>
            </w:r>
            <w:r>
              <w:rPr>
                <w:color w:val="221F1F"/>
                <w:sz w:val="24"/>
              </w:rPr>
              <w:t>- Juiz de Direito (Presidente)</w:t>
            </w:r>
          </w:p>
          <w:p w14:paraId="2D828900" w14:textId="1CCD4752" w:rsidR="00C25168" w:rsidRDefault="00C25168" w:rsidP="00A93AB2">
            <w:pPr>
              <w:pStyle w:val="TableParagraph"/>
              <w:ind w:left="108" w:right="116"/>
              <w:jc w:val="both"/>
              <w:rPr>
                <w:color w:val="221F1F"/>
                <w:sz w:val="24"/>
              </w:rPr>
            </w:pPr>
            <w:r w:rsidRPr="00C25168">
              <w:rPr>
                <w:b/>
                <w:bCs/>
                <w:color w:val="221F1F"/>
                <w:sz w:val="24"/>
              </w:rPr>
              <w:t>Guilherme Vitor de Gonzaga Camilo</w:t>
            </w:r>
            <w:r>
              <w:rPr>
                <w:color w:val="221F1F"/>
                <w:sz w:val="24"/>
              </w:rPr>
              <w:t xml:space="preserve"> - Juiz de Direito</w:t>
            </w:r>
          </w:p>
          <w:p w14:paraId="7D14B537" w14:textId="77777777" w:rsidR="00652492" w:rsidRDefault="00652492" w:rsidP="00D25D2B">
            <w:pPr>
              <w:pStyle w:val="TableParagraph"/>
              <w:ind w:right="246"/>
              <w:jc w:val="both"/>
              <w:rPr>
                <w:bCs/>
                <w:color w:val="221F1F"/>
                <w:sz w:val="24"/>
              </w:rPr>
            </w:pPr>
            <w:r w:rsidRPr="00652492">
              <w:rPr>
                <w:b/>
                <w:color w:val="221F1F"/>
                <w:sz w:val="24"/>
              </w:rPr>
              <w:t>D</w:t>
            </w:r>
            <w:r>
              <w:rPr>
                <w:b/>
                <w:color w:val="221F1F"/>
                <w:sz w:val="24"/>
              </w:rPr>
              <w:t>é</w:t>
            </w:r>
            <w:r w:rsidRPr="00652492">
              <w:rPr>
                <w:b/>
                <w:color w:val="221F1F"/>
                <w:sz w:val="24"/>
              </w:rPr>
              <w:t>bora Cerqueira Nobre de Sousa</w:t>
            </w:r>
            <w:r>
              <w:rPr>
                <w:b/>
                <w:color w:val="221F1F"/>
                <w:sz w:val="24"/>
              </w:rPr>
              <w:t xml:space="preserve"> </w:t>
            </w:r>
            <w:r>
              <w:rPr>
                <w:bCs/>
                <w:color w:val="221F1F"/>
                <w:sz w:val="24"/>
              </w:rPr>
              <w:t xml:space="preserve">- </w:t>
            </w:r>
            <w:r w:rsidR="00772B49">
              <w:rPr>
                <w:bCs/>
                <w:color w:val="221F1F"/>
                <w:sz w:val="24"/>
              </w:rPr>
              <w:t>S</w:t>
            </w:r>
            <w:r w:rsidR="00772B49" w:rsidRPr="00772B49">
              <w:rPr>
                <w:bCs/>
                <w:color w:val="221F1F"/>
                <w:sz w:val="24"/>
              </w:rPr>
              <w:t>ervidora representante da Secretaria de Gestão de Pessoas</w:t>
            </w:r>
            <w:r w:rsidR="00772B49">
              <w:rPr>
                <w:bCs/>
                <w:color w:val="221F1F"/>
                <w:sz w:val="24"/>
              </w:rPr>
              <w:t xml:space="preserve"> – SEGESP </w:t>
            </w:r>
          </w:p>
          <w:p w14:paraId="3FD2E61B" w14:textId="77777777" w:rsidR="000A3715" w:rsidRDefault="000A3715" w:rsidP="000A3715">
            <w:pPr>
              <w:pStyle w:val="TableParagraph"/>
              <w:ind w:left="108" w:right="116"/>
              <w:jc w:val="both"/>
              <w:rPr>
                <w:bCs/>
                <w:sz w:val="24"/>
              </w:rPr>
            </w:pPr>
            <w:r>
              <w:rPr>
                <w:b/>
                <w:sz w:val="24"/>
              </w:rPr>
              <w:t>Carmen Sílvia Bonfim dos Santos Rocha</w:t>
            </w:r>
            <w:r>
              <w:rPr>
                <w:bCs/>
                <w:sz w:val="24"/>
              </w:rPr>
              <w:t xml:space="preserve"> – Representante da Associação dos Servidores do Tribunal de Justiça do Estado da Bahia – ASSETBA</w:t>
            </w:r>
          </w:p>
          <w:p w14:paraId="67F8225F" w14:textId="77777777" w:rsidR="00857E3F" w:rsidRDefault="00857E3F" w:rsidP="00857E3F">
            <w:pPr>
              <w:pStyle w:val="TableParagraph"/>
              <w:ind w:left="108" w:right="116"/>
              <w:jc w:val="both"/>
              <w:rPr>
                <w:bCs/>
                <w:sz w:val="24"/>
              </w:rPr>
            </w:pPr>
            <w:r w:rsidRPr="00857E3F">
              <w:rPr>
                <w:b/>
                <w:sz w:val="24"/>
              </w:rPr>
              <w:t>Bruno Calheira dos Santos</w:t>
            </w:r>
            <w:r>
              <w:rPr>
                <w:bCs/>
                <w:sz w:val="24"/>
              </w:rPr>
              <w:t xml:space="preserve"> - R</w:t>
            </w:r>
            <w:r w:rsidRPr="00857E3F">
              <w:rPr>
                <w:bCs/>
                <w:sz w:val="24"/>
              </w:rPr>
              <w:t>epresentante do Sindicato dos Servidores dos Serviços Auxiliares do Poder Judiciário do</w:t>
            </w:r>
            <w:r>
              <w:rPr>
                <w:bCs/>
                <w:sz w:val="24"/>
              </w:rPr>
              <w:t xml:space="preserve"> </w:t>
            </w:r>
            <w:r w:rsidRPr="00857E3F">
              <w:rPr>
                <w:bCs/>
                <w:sz w:val="24"/>
              </w:rPr>
              <w:t>Estado da Bahia – SINTAJ</w:t>
            </w:r>
          </w:p>
          <w:p w14:paraId="3E7153D2" w14:textId="6EBC9A71" w:rsidR="00A97A0E" w:rsidRPr="000A3715" w:rsidRDefault="00A97A0E" w:rsidP="00857E3F">
            <w:pPr>
              <w:pStyle w:val="TableParagraph"/>
              <w:ind w:left="108" w:right="116"/>
              <w:jc w:val="both"/>
              <w:rPr>
                <w:bCs/>
                <w:sz w:val="24"/>
              </w:rPr>
            </w:pPr>
            <w:r w:rsidRPr="00A97A0E">
              <w:rPr>
                <w:b/>
                <w:sz w:val="24"/>
              </w:rPr>
              <w:t>Robson Matos da Gama</w:t>
            </w:r>
            <w:r>
              <w:rPr>
                <w:bCs/>
                <w:sz w:val="24"/>
              </w:rPr>
              <w:t xml:space="preserve"> - S</w:t>
            </w:r>
            <w:r w:rsidRPr="00A97A0E">
              <w:rPr>
                <w:bCs/>
                <w:sz w:val="24"/>
              </w:rPr>
              <w:t>ervidor</w:t>
            </w:r>
          </w:p>
        </w:tc>
      </w:tr>
    </w:tbl>
    <w:p w14:paraId="2B6AE63E" w14:textId="77777777" w:rsidR="00BB1F81" w:rsidRDefault="00BB1F81">
      <w:pPr>
        <w:pStyle w:val="Corpodetexto"/>
        <w:rPr>
          <w:rFonts w:ascii="Times New Roman"/>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844"/>
        <w:gridCol w:w="1419"/>
        <w:gridCol w:w="4246"/>
      </w:tblGrid>
      <w:tr w:rsidR="00BB1F81" w14:paraId="696CDC3F" w14:textId="77777777">
        <w:trPr>
          <w:trHeight w:val="278"/>
        </w:trPr>
        <w:tc>
          <w:tcPr>
            <w:tcW w:w="2122" w:type="dxa"/>
          </w:tcPr>
          <w:p w14:paraId="3F0F9644" w14:textId="153A0FB9" w:rsidR="00BB1F81" w:rsidRDefault="00153306">
            <w:pPr>
              <w:pStyle w:val="TableParagraph"/>
              <w:spacing w:before="2" w:line="255" w:lineRule="exact"/>
              <w:ind w:left="129"/>
              <w:rPr>
                <w:sz w:val="24"/>
              </w:rPr>
            </w:pPr>
            <w:r>
              <w:rPr>
                <w:b/>
                <w:color w:val="252525"/>
                <w:sz w:val="24"/>
              </w:rPr>
              <w:t xml:space="preserve">Data: </w:t>
            </w:r>
            <w:r w:rsidR="00672921">
              <w:rPr>
                <w:bCs/>
                <w:color w:val="252525"/>
                <w:sz w:val="24"/>
              </w:rPr>
              <w:t>2</w:t>
            </w:r>
            <w:r w:rsidR="002603AE">
              <w:rPr>
                <w:bCs/>
                <w:color w:val="252525"/>
                <w:sz w:val="24"/>
              </w:rPr>
              <w:t>8</w:t>
            </w:r>
            <w:r>
              <w:rPr>
                <w:color w:val="252525"/>
                <w:sz w:val="24"/>
              </w:rPr>
              <w:t>/</w:t>
            </w:r>
            <w:r w:rsidR="007638C6">
              <w:rPr>
                <w:color w:val="252525"/>
                <w:sz w:val="24"/>
              </w:rPr>
              <w:t>0</w:t>
            </w:r>
            <w:r w:rsidR="002603AE">
              <w:rPr>
                <w:color w:val="252525"/>
                <w:sz w:val="24"/>
              </w:rPr>
              <w:t>8</w:t>
            </w:r>
            <w:r w:rsidR="000E761C">
              <w:rPr>
                <w:color w:val="252525"/>
                <w:sz w:val="24"/>
              </w:rPr>
              <w:t>/</w:t>
            </w:r>
            <w:r>
              <w:rPr>
                <w:color w:val="252525"/>
                <w:sz w:val="24"/>
              </w:rPr>
              <w:t>202</w:t>
            </w:r>
            <w:r w:rsidR="00CD535D">
              <w:rPr>
                <w:color w:val="252525"/>
                <w:sz w:val="24"/>
              </w:rPr>
              <w:t>3</w:t>
            </w:r>
          </w:p>
        </w:tc>
        <w:tc>
          <w:tcPr>
            <w:tcW w:w="1844" w:type="dxa"/>
          </w:tcPr>
          <w:p w14:paraId="54047BF4" w14:textId="7107A780" w:rsidR="00BB1F81" w:rsidRDefault="00153306">
            <w:pPr>
              <w:pStyle w:val="TableParagraph"/>
              <w:spacing w:before="2" w:line="255" w:lineRule="exact"/>
              <w:ind w:left="170"/>
              <w:rPr>
                <w:sz w:val="24"/>
              </w:rPr>
            </w:pPr>
            <w:r>
              <w:rPr>
                <w:b/>
                <w:color w:val="252525"/>
                <w:sz w:val="24"/>
              </w:rPr>
              <w:t xml:space="preserve">Início: </w:t>
            </w:r>
            <w:r w:rsidR="00DF6828" w:rsidRPr="00DF6828">
              <w:rPr>
                <w:bCs/>
                <w:color w:val="252525"/>
                <w:sz w:val="24"/>
              </w:rPr>
              <w:t>1</w:t>
            </w:r>
            <w:r w:rsidR="007638C6">
              <w:rPr>
                <w:bCs/>
                <w:color w:val="252525"/>
                <w:sz w:val="24"/>
              </w:rPr>
              <w:t>4</w:t>
            </w:r>
            <w:r>
              <w:rPr>
                <w:color w:val="252525"/>
                <w:sz w:val="24"/>
              </w:rPr>
              <w:t>h</w:t>
            </w:r>
            <w:r w:rsidR="00692E4F">
              <w:rPr>
                <w:color w:val="252525"/>
                <w:sz w:val="24"/>
              </w:rPr>
              <w:t>20</w:t>
            </w:r>
          </w:p>
        </w:tc>
        <w:tc>
          <w:tcPr>
            <w:tcW w:w="1419" w:type="dxa"/>
          </w:tcPr>
          <w:p w14:paraId="4B1423E5" w14:textId="72C2C949" w:rsidR="00BB1F81" w:rsidRDefault="00153306">
            <w:pPr>
              <w:pStyle w:val="TableParagraph"/>
              <w:spacing w:before="2" w:line="255" w:lineRule="exact"/>
              <w:ind w:left="59"/>
              <w:rPr>
                <w:sz w:val="24"/>
              </w:rPr>
            </w:pPr>
            <w:r>
              <w:rPr>
                <w:b/>
                <w:color w:val="252525"/>
                <w:sz w:val="24"/>
              </w:rPr>
              <w:t>Fim</w:t>
            </w:r>
            <w:r>
              <w:rPr>
                <w:color w:val="252525"/>
                <w:sz w:val="24"/>
              </w:rPr>
              <w:t xml:space="preserve">: </w:t>
            </w:r>
            <w:r w:rsidR="009068F3">
              <w:rPr>
                <w:color w:val="252525"/>
                <w:sz w:val="24"/>
              </w:rPr>
              <w:t>1</w:t>
            </w:r>
            <w:r w:rsidR="006A4192">
              <w:rPr>
                <w:color w:val="252525"/>
                <w:sz w:val="24"/>
              </w:rPr>
              <w:t>5</w:t>
            </w:r>
            <w:r>
              <w:rPr>
                <w:color w:val="252525"/>
                <w:sz w:val="24"/>
              </w:rPr>
              <w:t>h</w:t>
            </w:r>
            <w:r w:rsidR="00D72DCA">
              <w:rPr>
                <w:color w:val="252525"/>
                <w:sz w:val="24"/>
              </w:rPr>
              <w:t>22</w:t>
            </w:r>
          </w:p>
        </w:tc>
        <w:tc>
          <w:tcPr>
            <w:tcW w:w="4246" w:type="dxa"/>
          </w:tcPr>
          <w:p w14:paraId="5EB1E361" w14:textId="4C2FA0AF" w:rsidR="00BB1F81" w:rsidRDefault="00153306">
            <w:pPr>
              <w:pStyle w:val="TableParagraph"/>
              <w:spacing w:before="2" w:line="255" w:lineRule="exact"/>
              <w:ind w:left="47"/>
              <w:rPr>
                <w:sz w:val="24"/>
              </w:rPr>
            </w:pPr>
            <w:r>
              <w:rPr>
                <w:b/>
                <w:color w:val="252525"/>
                <w:sz w:val="24"/>
              </w:rPr>
              <w:t>Local</w:t>
            </w:r>
            <w:r>
              <w:rPr>
                <w:color w:val="252525"/>
                <w:sz w:val="24"/>
              </w:rPr>
              <w:t xml:space="preserve">: </w:t>
            </w:r>
            <w:r w:rsidR="00D16A56">
              <w:rPr>
                <w:color w:val="252525"/>
                <w:sz w:val="24"/>
              </w:rPr>
              <w:t>S</w:t>
            </w:r>
            <w:r>
              <w:rPr>
                <w:color w:val="252525"/>
                <w:sz w:val="24"/>
              </w:rPr>
              <w:t>ala de reunião virtual (</w:t>
            </w:r>
            <w:r>
              <w:rPr>
                <w:i/>
                <w:color w:val="252525"/>
                <w:sz w:val="24"/>
              </w:rPr>
              <w:t>Lifesize</w:t>
            </w:r>
            <w:r>
              <w:rPr>
                <w:color w:val="252525"/>
                <w:sz w:val="24"/>
              </w:rPr>
              <w:t>)</w:t>
            </w:r>
          </w:p>
        </w:tc>
      </w:tr>
    </w:tbl>
    <w:p w14:paraId="104A5F31" w14:textId="77777777" w:rsidR="00BB1F81" w:rsidRDefault="00BB1F81">
      <w:pPr>
        <w:pStyle w:val="Corpodetexto"/>
        <w:rPr>
          <w:rFonts w:ascii="Times New Roman"/>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790"/>
        <w:gridCol w:w="7286"/>
      </w:tblGrid>
      <w:tr w:rsidR="00BB1F81" w14:paraId="68761DCE" w14:textId="77777777" w:rsidTr="00DA0E25">
        <w:trPr>
          <w:trHeight w:val="275"/>
        </w:trPr>
        <w:tc>
          <w:tcPr>
            <w:tcW w:w="1556" w:type="dxa"/>
            <w:tcBorders>
              <w:bottom w:val="single" w:sz="4" w:space="0" w:color="000000"/>
            </w:tcBorders>
            <w:shd w:val="clear" w:color="auto" w:fill="B1B1B1"/>
          </w:tcPr>
          <w:p w14:paraId="10328969" w14:textId="77777777" w:rsidR="00BB1F81" w:rsidRDefault="00153306">
            <w:pPr>
              <w:pStyle w:val="TableParagraph"/>
              <w:spacing w:line="255" w:lineRule="exact"/>
              <w:ind w:left="288"/>
              <w:rPr>
                <w:b/>
                <w:sz w:val="24"/>
              </w:rPr>
            </w:pPr>
            <w:r>
              <w:rPr>
                <w:b/>
                <w:sz w:val="24"/>
              </w:rPr>
              <w:t>EVENTO</w:t>
            </w:r>
          </w:p>
        </w:tc>
        <w:tc>
          <w:tcPr>
            <w:tcW w:w="790" w:type="dxa"/>
            <w:shd w:val="clear" w:color="auto" w:fill="B1B1B1"/>
          </w:tcPr>
          <w:p w14:paraId="7DCE33DE" w14:textId="77777777" w:rsidR="00BB1F81" w:rsidRDefault="00153306">
            <w:pPr>
              <w:pStyle w:val="TableParagraph"/>
              <w:spacing w:line="255" w:lineRule="exact"/>
              <w:ind w:left="87" w:right="79"/>
              <w:jc w:val="center"/>
              <w:rPr>
                <w:b/>
                <w:sz w:val="24"/>
              </w:rPr>
            </w:pPr>
            <w:r>
              <w:rPr>
                <w:b/>
                <w:sz w:val="24"/>
              </w:rPr>
              <w:t>ITEM</w:t>
            </w:r>
          </w:p>
        </w:tc>
        <w:tc>
          <w:tcPr>
            <w:tcW w:w="7286" w:type="dxa"/>
            <w:shd w:val="clear" w:color="auto" w:fill="B1B1B1"/>
          </w:tcPr>
          <w:p w14:paraId="6AA8CAB9" w14:textId="77777777" w:rsidR="00BB1F81" w:rsidRDefault="00153306">
            <w:pPr>
              <w:pStyle w:val="TableParagraph"/>
              <w:spacing w:line="255" w:lineRule="exact"/>
              <w:ind w:left="2342" w:right="2332"/>
              <w:jc w:val="center"/>
              <w:rPr>
                <w:b/>
                <w:sz w:val="24"/>
              </w:rPr>
            </w:pPr>
            <w:r>
              <w:rPr>
                <w:b/>
                <w:sz w:val="24"/>
              </w:rPr>
              <w:t>PONTOS DISCUTIDOS</w:t>
            </w:r>
          </w:p>
        </w:tc>
      </w:tr>
      <w:tr w:rsidR="00035B3F" w14:paraId="25FACE38" w14:textId="77777777" w:rsidTr="00FB17A5">
        <w:trPr>
          <w:trHeight w:val="275"/>
        </w:trPr>
        <w:tc>
          <w:tcPr>
            <w:tcW w:w="1556" w:type="dxa"/>
            <w:vMerge w:val="restart"/>
            <w:tcBorders>
              <w:left w:val="single" w:sz="4" w:space="0" w:color="auto"/>
            </w:tcBorders>
            <w:vAlign w:val="center"/>
          </w:tcPr>
          <w:p w14:paraId="6F0EFD4D" w14:textId="571EB449" w:rsidR="00035B3F" w:rsidRDefault="00035B3F" w:rsidP="00672897">
            <w:pPr>
              <w:pStyle w:val="TableParagraph"/>
              <w:ind w:left="165" w:right="130" w:hanging="5"/>
              <w:jc w:val="center"/>
              <w:rPr>
                <w:b/>
                <w:sz w:val="24"/>
              </w:rPr>
            </w:pPr>
            <w:r>
              <w:rPr>
                <w:b/>
                <w:sz w:val="24"/>
              </w:rPr>
              <w:t>26ª Reunião</w:t>
            </w:r>
          </w:p>
          <w:p w14:paraId="55F0D3D1" w14:textId="73F3E7C2" w:rsidR="00035B3F" w:rsidRDefault="00035B3F" w:rsidP="00672897">
            <w:pPr>
              <w:pStyle w:val="TableParagraph"/>
              <w:ind w:left="165" w:right="130" w:hanging="5"/>
              <w:jc w:val="center"/>
              <w:rPr>
                <w:b/>
                <w:sz w:val="24"/>
              </w:rPr>
            </w:pPr>
            <w:proofErr w:type="spellStart"/>
            <w:r>
              <w:rPr>
                <w:b/>
                <w:sz w:val="24"/>
              </w:rPr>
              <w:t>da</w:t>
            </w:r>
            <w:proofErr w:type="spellEnd"/>
            <w:r>
              <w:rPr>
                <w:b/>
                <w:sz w:val="24"/>
              </w:rPr>
              <w:t xml:space="preserve"> COGEN</w:t>
            </w:r>
          </w:p>
        </w:tc>
        <w:tc>
          <w:tcPr>
            <w:tcW w:w="790" w:type="dxa"/>
          </w:tcPr>
          <w:p w14:paraId="12FAD324" w14:textId="77777777" w:rsidR="00035B3F" w:rsidRDefault="00035B3F">
            <w:pPr>
              <w:pStyle w:val="TableParagraph"/>
              <w:spacing w:line="255" w:lineRule="exact"/>
              <w:ind w:left="77"/>
              <w:jc w:val="center"/>
              <w:rPr>
                <w:b/>
                <w:sz w:val="24"/>
              </w:rPr>
            </w:pPr>
            <w:r>
              <w:rPr>
                <w:b/>
                <w:sz w:val="24"/>
              </w:rPr>
              <w:t>1</w:t>
            </w:r>
          </w:p>
        </w:tc>
        <w:tc>
          <w:tcPr>
            <w:tcW w:w="7286" w:type="dxa"/>
          </w:tcPr>
          <w:p w14:paraId="3B82DA3B" w14:textId="678492E7" w:rsidR="00035B3F" w:rsidRDefault="00035B3F" w:rsidP="002F2EAC">
            <w:pPr>
              <w:pStyle w:val="TableParagraph"/>
              <w:spacing w:line="255" w:lineRule="exact"/>
              <w:ind w:left="77" w:right="116"/>
              <w:jc w:val="both"/>
              <w:rPr>
                <w:b/>
                <w:sz w:val="24"/>
              </w:rPr>
            </w:pPr>
            <w:r w:rsidRPr="00C971E6">
              <w:rPr>
                <w:b/>
                <w:sz w:val="24"/>
              </w:rPr>
              <w:t>Análise da possibilidade de criação de um boletim informativo da COGEN</w:t>
            </w:r>
            <w:r>
              <w:rPr>
                <w:b/>
                <w:sz w:val="24"/>
              </w:rPr>
              <w:t>;</w:t>
            </w:r>
          </w:p>
        </w:tc>
      </w:tr>
      <w:tr w:rsidR="00035B3F" w14:paraId="5B68AF6B" w14:textId="77777777" w:rsidTr="00035B3F">
        <w:trPr>
          <w:trHeight w:val="275"/>
        </w:trPr>
        <w:tc>
          <w:tcPr>
            <w:tcW w:w="1556" w:type="dxa"/>
            <w:vMerge/>
            <w:tcBorders>
              <w:left w:val="single" w:sz="4" w:space="0" w:color="auto"/>
            </w:tcBorders>
            <w:vAlign w:val="center"/>
          </w:tcPr>
          <w:p w14:paraId="2821B71A" w14:textId="77777777" w:rsidR="00035B3F" w:rsidRDefault="00035B3F" w:rsidP="00672897">
            <w:pPr>
              <w:pStyle w:val="TableParagraph"/>
              <w:ind w:left="165" w:right="130" w:hanging="5"/>
              <w:jc w:val="center"/>
              <w:rPr>
                <w:b/>
                <w:sz w:val="24"/>
              </w:rPr>
            </w:pPr>
          </w:p>
        </w:tc>
        <w:tc>
          <w:tcPr>
            <w:tcW w:w="790" w:type="dxa"/>
          </w:tcPr>
          <w:p w14:paraId="307A2C6D" w14:textId="5A1E7183" w:rsidR="00035B3F" w:rsidRDefault="00035B3F">
            <w:pPr>
              <w:pStyle w:val="TableParagraph"/>
              <w:spacing w:line="255" w:lineRule="exact"/>
              <w:ind w:left="77"/>
              <w:jc w:val="center"/>
              <w:rPr>
                <w:b/>
                <w:sz w:val="24"/>
              </w:rPr>
            </w:pPr>
            <w:r>
              <w:rPr>
                <w:b/>
                <w:sz w:val="24"/>
              </w:rPr>
              <w:t>2</w:t>
            </w:r>
          </w:p>
        </w:tc>
        <w:tc>
          <w:tcPr>
            <w:tcW w:w="7286" w:type="dxa"/>
          </w:tcPr>
          <w:p w14:paraId="5A070C1E" w14:textId="75CC59CA" w:rsidR="00035B3F" w:rsidRPr="00F05F06" w:rsidRDefault="00035B3F" w:rsidP="002F2EAC">
            <w:pPr>
              <w:pStyle w:val="TableParagraph"/>
              <w:spacing w:line="255" w:lineRule="exact"/>
              <w:ind w:left="77" w:right="116"/>
              <w:jc w:val="both"/>
              <w:rPr>
                <w:b/>
                <w:sz w:val="24"/>
              </w:rPr>
            </w:pPr>
            <w:r w:rsidRPr="00C971E6">
              <w:rPr>
                <w:b/>
                <w:sz w:val="24"/>
              </w:rPr>
              <w:t>Análise da possibilidade de criação de um</w:t>
            </w:r>
            <w:r>
              <w:rPr>
                <w:b/>
                <w:sz w:val="24"/>
              </w:rPr>
              <w:t>a página específica da COGEN dentro do endereço eletrônico do PJBA;</w:t>
            </w:r>
          </w:p>
        </w:tc>
      </w:tr>
      <w:tr w:rsidR="00035B3F" w14:paraId="2F890400" w14:textId="77777777" w:rsidTr="00DA0E25">
        <w:trPr>
          <w:trHeight w:val="275"/>
        </w:trPr>
        <w:tc>
          <w:tcPr>
            <w:tcW w:w="1556" w:type="dxa"/>
            <w:vMerge/>
            <w:tcBorders>
              <w:left w:val="single" w:sz="4" w:space="0" w:color="auto"/>
              <w:bottom w:val="single" w:sz="4" w:space="0" w:color="auto"/>
            </w:tcBorders>
            <w:vAlign w:val="center"/>
          </w:tcPr>
          <w:p w14:paraId="63F2E35F" w14:textId="77777777" w:rsidR="00035B3F" w:rsidRDefault="00035B3F" w:rsidP="00672897">
            <w:pPr>
              <w:pStyle w:val="TableParagraph"/>
              <w:ind w:left="165" w:right="130" w:hanging="5"/>
              <w:jc w:val="center"/>
              <w:rPr>
                <w:b/>
                <w:sz w:val="24"/>
              </w:rPr>
            </w:pPr>
          </w:p>
        </w:tc>
        <w:tc>
          <w:tcPr>
            <w:tcW w:w="790" w:type="dxa"/>
          </w:tcPr>
          <w:p w14:paraId="78098C73" w14:textId="6FA6A1BB" w:rsidR="00035B3F" w:rsidRDefault="00035B3F">
            <w:pPr>
              <w:pStyle w:val="TableParagraph"/>
              <w:spacing w:line="255" w:lineRule="exact"/>
              <w:ind w:left="77"/>
              <w:jc w:val="center"/>
              <w:rPr>
                <w:b/>
                <w:sz w:val="24"/>
              </w:rPr>
            </w:pPr>
            <w:r>
              <w:rPr>
                <w:b/>
                <w:sz w:val="24"/>
              </w:rPr>
              <w:t>3</w:t>
            </w:r>
          </w:p>
        </w:tc>
        <w:tc>
          <w:tcPr>
            <w:tcW w:w="7286" w:type="dxa"/>
          </w:tcPr>
          <w:p w14:paraId="215E08EC" w14:textId="18C8F3D0" w:rsidR="00035B3F" w:rsidRPr="00C971E6" w:rsidRDefault="00035B3F" w:rsidP="002F2EAC">
            <w:pPr>
              <w:pStyle w:val="TableParagraph"/>
              <w:spacing w:line="255" w:lineRule="exact"/>
              <w:ind w:left="77" w:right="116"/>
              <w:jc w:val="both"/>
              <w:rPr>
                <w:b/>
                <w:sz w:val="24"/>
              </w:rPr>
            </w:pPr>
            <w:r w:rsidRPr="00C971E6">
              <w:rPr>
                <w:b/>
                <w:sz w:val="24"/>
              </w:rPr>
              <w:t>Análise da possibilidade de criação de um</w:t>
            </w:r>
            <w:r>
              <w:rPr>
                <w:b/>
                <w:sz w:val="24"/>
              </w:rPr>
              <w:t xml:space="preserve">a </w:t>
            </w:r>
            <w:r w:rsidR="0018705F">
              <w:rPr>
                <w:b/>
                <w:sz w:val="24"/>
              </w:rPr>
              <w:t xml:space="preserve">espaço, de responsabilidade da COGEN, </w:t>
            </w:r>
            <w:r w:rsidR="005F44EB">
              <w:rPr>
                <w:b/>
                <w:sz w:val="24"/>
              </w:rPr>
              <w:t>no qual violaç</w:t>
            </w:r>
            <w:r w:rsidR="003F4F3E">
              <w:rPr>
                <w:b/>
                <w:sz w:val="24"/>
              </w:rPr>
              <w:t>ões</w:t>
            </w:r>
            <w:r w:rsidR="005F44EB">
              <w:rPr>
                <w:b/>
                <w:sz w:val="24"/>
              </w:rPr>
              <w:t xml:space="preserve"> de direitos das populações LGBTQIA</w:t>
            </w:r>
            <w:r w:rsidR="003F4F3E">
              <w:rPr>
                <w:b/>
                <w:sz w:val="24"/>
              </w:rPr>
              <w:t>PN+ possam ser denunciadas e expostas;</w:t>
            </w:r>
          </w:p>
        </w:tc>
      </w:tr>
    </w:tbl>
    <w:p w14:paraId="78BFABB6" w14:textId="77777777" w:rsidR="00BB1F81" w:rsidRDefault="00BB1F81">
      <w:pPr>
        <w:pStyle w:val="Corpodetexto"/>
        <w:rPr>
          <w:rFonts w:ascii="Times New Roman"/>
          <w:sz w:val="20"/>
        </w:rPr>
      </w:pPr>
    </w:p>
    <w:p w14:paraId="6C2B4C84" w14:textId="77777777" w:rsidR="00BB1F81" w:rsidRDefault="00BB1F81">
      <w:pPr>
        <w:pStyle w:val="Corpodetexto"/>
        <w:spacing w:before="10"/>
        <w:rPr>
          <w:rFonts w:ascii="Times New Roman"/>
          <w:sz w:val="16"/>
        </w:rPr>
      </w:pPr>
    </w:p>
    <w:p w14:paraId="54235744" w14:textId="77777777" w:rsidR="00BB1F81" w:rsidRDefault="00153306">
      <w:pPr>
        <w:pStyle w:val="Ttulo1"/>
        <w:spacing w:before="92"/>
        <w:ind w:left="3054" w:right="3115"/>
        <w:jc w:val="center"/>
      </w:pPr>
      <w:r>
        <w:t>DESENVOLVIMENTO DA PAUTA</w:t>
      </w:r>
    </w:p>
    <w:p w14:paraId="6AD7BA85" w14:textId="77777777" w:rsidR="00BB1F81" w:rsidRDefault="00BB1F81">
      <w:pPr>
        <w:pStyle w:val="Corpodetexto"/>
        <w:rPr>
          <w:b/>
          <w:sz w:val="26"/>
        </w:rPr>
      </w:pPr>
    </w:p>
    <w:p w14:paraId="711B72F4" w14:textId="24CDAFDC" w:rsidR="00BB1F81" w:rsidRDefault="00153306" w:rsidP="002F5D34">
      <w:pPr>
        <w:pStyle w:val="Corpodetexto"/>
        <w:spacing w:before="217"/>
        <w:ind w:left="112" w:right="166"/>
        <w:jc w:val="both"/>
        <w:rPr>
          <w:color w:val="000009"/>
        </w:rPr>
      </w:pPr>
      <w:r>
        <w:rPr>
          <w:color w:val="000009"/>
        </w:rPr>
        <w:t>Aberta a reunião,</w:t>
      </w:r>
      <w:r w:rsidRPr="00A66A82">
        <w:rPr>
          <w:color w:val="000009"/>
          <w:u w:color="000009"/>
        </w:rPr>
        <w:t xml:space="preserve"> </w:t>
      </w:r>
      <w:r>
        <w:rPr>
          <w:color w:val="000009"/>
          <w:u w:val="single" w:color="000009"/>
        </w:rPr>
        <w:t>realizada por videoconferência</w:t>
      </w:r>
      <w:r>
        <w:rPr>
          <w:color w:val="000009"/>
        </w:rPr>
        <w:t>, foi registrada a presença dos membros efetivos da COGEN acima citados.</w:t>
      </w:r>
      <w:r w:rsidR="00A66A82" w:rsidRPr="00A66A82">
        <w:t xml:space="preserve"> </w:t>
      </w:r>
      <w:r w:rsidR="004F762F">
        <w:t>O</w:t>
      </w:r>
      <w:r w:rsidR="00746176" w:rsidRPr="00746176">
        <w:t xml:space="preserve"> </w:t>
      </w:r>
      <w:r w:rsidR="0005681A">
        <w:t>Doutor</w:t>
      </w:r>
      <w:r w:rsidR="00083FB1">
        <w:t xml:space="preserve"> </w:t>
      </w:r>
      <w:r w:rsidR="00A2053F" w:rsidRPr="00A2053F">
        <w:t>Bruno Barros dos Santos</w:t>
      </w:r>
      <w:r w:rsidR="00293878">
        <w:t>,</w:t>
      </w:r>
      <w:r w:rsidR="0005681A">
        <w:t xml:space="preserve"> </w:t>
      </w:r>
      <w:r w:rsidR="00083FB1">
        <w:t>Ju</w:t>
      </w:r>
      <w:r w:rsidR="00A2053F">
        <w:t>i</w:t>
      </w:r>
      <w:r w:rsidR="00083FB1">
        <w:t>z de Direito</w:t>
      </w:r>
      <w:r w:rsidR="00A6402F">
        <w:t>, o</w:t>
      </w:r>
      <w:r w:rsidR="00BB635C">
        <w:t xml:space="preserve"> Doutor </w:t>
      </w:r>
      <w:r w:rsidR="00A6402F" w:rsidRPr="00A6402F">
        <w:t>Daniel Soeiro Freitas</w:t>
      </w:r>
      <w:r w:rsidR="009A4109">
        <w:t>,</w:t>
      </w:r>
      <w:r w:rsidR="00A6402F" w:rsidRPr="00A6402F">
        <w:t xml:space="preserve"> representante da Defensoria Pública do Estado da Bahia</w:t>
      </w:r>
      <w:r w:rsidR="00A42BA5">
        <w:t xml:space="preserve">, a Doutora </w:t>
      </w:r>
      <w:r w:rsidR="00A42BA5" w:rsidRPr="00A42BA5">
        <w:rPr>
          <w:bCs/>
        </w:rPr>
        <w:t>Maria Angélica Alves Matos</w:t>
      </w:r>
      <w:r w:rsidR="00A42BA5">
        <w:rPr>
          <w:bCs/>
        </w:rPr>
        <w:t>,</w:t>
      </w:r>
      <w:r w:rsidR="00A42BA5">
        <w:rPr>
          <w:b/>
        </w:rPr>
        <w:t xml:space="preserve"> </w:t>
      </w:r>
      <w:r w:rsidR="00A42BA5">
        <w:rPr>
          <w:bCs/>
        </w:rPr>
        <w:t>R</w:t>
      </w:r>
      <w:r w:rsidR="00A42BA5" w:rsidRPr="001D7DAA">
        <w:rPr>
          <w:bCs/>
        </w:rPr>
        <w:t>epresentante da Associação dos Magistrados da Bahia</w:t>
      </w:r>
      <w:r w:rsidR="00F54765">
        <w:rPr>
          <w:bCs/>
        </w:rPr>
        <w:t>, a Doutora Márcia Regina</w:t>
      </w:r>
      <w:r w:rsidR="00924762">
        <w:rPr>
          <w:bCs/>
        </w:rPr>
        <w:t xml:space="preserve"> Ribeiro Teixeira, </w:t>
      </w:r>
      <w:r w:rsidR="00924762" w:rsidRPr="00924762">
        <w:rPr>
          <w:bCs/>
        </w:rPr>
        <w:t>representante do Ministério Público do Estado da Bahia</w:t>
      </w:r>
      <w:r w:rsidR="004B2043">
        <w:rPr>
          <w:bCs/>
        </w:rPr>
        <w:t xml:space="preserve"> e </w:t>
      </w:r>
      <w:r w:rsidR="00375D3C">
        <w:rPr>
          <w:bCs/>
        </w:rPr>
        <w:t>os</w:t>
      </w:r>
      <w:r w:rsidR="004B2043">
        <w:rPr>
          <w:bCs/>
        </w:rPr>
        <w:t xml:space="preserve"> servidor</w:t>
      </w:r>
      <w:r w:rsidR="00375D3C">
        <w:rPr>
          <w:bCs/>
        </w:rPr>
        <w:t>es</w:t>
      </w:r>
      <w:r w:rsidR="004B2043">
        <w:rPr>
          <w:bCs/>
        </w:rPr>
        <w:t xml:space="preserve"> </w:t>
      </w:r>
      <w:r w:rsidR="00375D3C" w:rsidRPr="00375D3C">
        <w:rPr>
          <w:bCs/>
        </w:rPr>
        <w:t>Tiago Pascoal dos Santos</w:t>
      </w:r>
      <w:r w:rsidR="009F25EE">
        <w:rPr>
          <w:bCs/>
        </w:rPr>
        <w:t>,</w:t>
      </w:r>
      <w:r w:rsidR="00375D3C" w:rsidRPr="00375D3C">
        <w:rPr>
          <w:bCs/>
        </w:rPr>
        <w:t xml:space="preserve"> Representante do SINPOJUD</w:t>
      </w:r>
      <w:r w:rsidR="00375D3C" w:rsidRPr="00375D3C">
        <w:rPr>
          <w:bCs/>
        </w:rPr>
        <w:t xml:space="preserve"> </w:t>
      </w:r>
      <w:r w:rsidR="009F25EE">
        <w:rPr>
          <w:bCs/>
        </w:rPr>
        <w:t xml:space="preserve">e </w:t>
      </w:r>
      <w:r w:rsidR="004B2043" w:rsidRPr="004B2043">
        <w:rPr>
          <w:bCs/>
        </w:rPr>
        <w:t>Marcelo Amaral da Silveira, Secretário da COGEN</w:t>
      </w:r>
      <w:r w:rsidR="00BB635C">
        <w:t xml:space="preserve"> </w:t>
      </w:r>
      <w:r w:rsidR="00746176" w:rsidRPr="00746176">
        <w:t>apresent</w:t>
      </w:r>
      <w:r w:rsidR="00083FB1">
        <w:t>aram</w:t>
      </w:r>
      <w:r w:rsidR="00746176" w:rsidRPr="00746176">
        <w:t xml:space="preserve"> justificativa à</w:t>
      </w:r>
      <w:r w:rsidR="00083FB1">
        <w:t>s</w:t>
      </w:r>
      <w:r w:rsidR="00746176" w:rsidRPr="00746176">
        <w:t xml:space="preserve"> sua</w:t>
      </w:r>
      <w:r w:rsidR="00083FB1">
        <w:t>s</w:t>
      </w:r>
      <w:r w:rsidR="00746176" w:rsidRPr="00746176">
        <w:t xml:space="preserve"> ausência</w:t>
      </w:r>
      <w:r w:rsidR="00083FB1">
        <w:t>s</w:t>
      </w:r>
      <w:r w:rsidR="00746176" w:rsidRPr="00746176">
        <w:t xml:space="preserve">. </w:t>
      </w:r>
      <w:r w:rsidR="00A66A82" w:rsidRPr="00A66A82">
        <w:rPr>
          <w:color w:val="000009"/>
        </w:rPr>
        <w:t xml:space="preserve">Os </w:t>
      </w:r>
      <w:r w:rsidR="00180F35">
        <w:rPr>
          <w:color w:val="000009"/>
        </w:rPr>
        <w:t xml:space="preserve">demais </w:t>
      </w:r>
      <w:r w:rsidR="00A66A82" w:rsidRPr="00A66A82">
        <w:rPr>
          <w:color w:val="000009"/>
        </w:rPr>
        <w:t xml:space="preserve">membros ausentes </w:t>
      </w:r>
      <w:r w:rsidR="001B696F">
        <w:rPr>
          <w:color w:val="000009"/>
        </w:rPr>
        <w:t xml:space="preserve">não </w:t>
      </w:r>
      <w:r w:rsidR="00A66A82" w:rsidRPr="00A66A82">
        <w:rPr>
          <w:color w:val="000009"/>
        </w:rPr>
        <w:t>apresentaram justificativa</w:t>
      </w:r>
      <w:r w:rsidR="009C3BA9">
        <w:rPr>
          <w:color w:val="000009"/>
        </w:rPr>
        <w:t xml:space="preserve"> às suas ausências</w:t>
      </w:r>
      <w:r w:rsidR="001B696F">
        <w:rPr>
          <w:color w:val="000009"/>
        </w:rPr>
        <w:t>, até o início desta assentada</w:t>
      </w:r>
      <w:r w:rsidR="00A66A82" w:rsidRPr="00A66A82">
        <w:rPr>
          <w:color w:val="000009"/>
        </w:rPr>
        <w:t>.</w:t>
      </w:r>
    </w:p>
    <w:p w14:paraId="781E6F7F" w14:textId="72C01034" w:rsidR="006448DA" w:rsidRDefault="006C2875" w:rsidP="006448DA">
      <w:pPr>
        <w:pStyle w:val="Corpodetexto"/>
        <w:spacing w:before="217"/>
        <w:ind w:left="112" w:right="166"/>
        <w:jc w:val="both"/>
        <w:rPr>
          <w:color w:val="000009"/>
        </w:rPr>
      </w:pPr>
      <w:r>
        <w:rPr>
          <w:color w:val="000009"/>
        </w:rPr>
        <w:t>Dada</w:t>
      </w:r>
      <w:r w:rsidR="009B0135">
        <w:rPr>
          <w:color w:val="000009"/>
        </w:rPr>
        <w:t xml:space="preserve"> a palavra aos membros presentes à assentada, não houve impugnações à Ata da </w:t>
      </w:r>
      <w:r w:rsidR="00E75984">
        <w:rPr>
          <w:color w:val="000009"/>
        </w:rPr>
        <w:t>2</w:t>
      </w:r>
      <w:r w:rsidR="00924762">
        <w:rPr>
          <w:color w:val="000009"/>
        </w:rPr>
        <w:t>5</w:t>
      </w:r>
      <w:r w:rsidR="006448DA">
        <w:rPr>
          <w:color w:val="000009"/>
        </w:rPr>
        <w:t>ª Reunião Ordinária da COGEN, a qual restou aprovada, à unanimidade.</w:t>
      </w:r>
    </w:p>
    <w:p w14:paraId="0FF9313C" w14:textId="77777777" w:rsidR="008651AC" w:rsidRDefault="008651AC">
      <w:pPr>
        <w:pStyle w:val="Corpodetexto"/>
        <w:spacing w:before="217"/>
        <w:ind w:left="112" w:right="166"/>
        <w:jc w:val="both"/>
      </w:pPr>
    </w:p>
    <w:p w14:paraId="4515F78C" w14:textId="4D93F851" w:rsidR="00BB1F81" w:rsidRPr="00D55B0E" w:rsidRDefault="00C971E6" w:rsidP="00F547D6">
      <w:pPr>
        <w:pStyle w:val="Ttulo1"/>
        <w:numPr>
          <w:ilvl w:val="0"/>
          <w:numId w:val="1"/>
        </w:numPr>
        <w:tabs>
          <w:tab w:val="left" w:pos="383"/>
        </w:tabs>
        <w:spacing w:before="127"/>
      </w:pPr>
      <w:r w:rsidRPr="00C971E6">
        <w:t>Análise da possibilidade de criação de um boletim informativo da COGEN</w:t>
      </w:r>
      <w:r w:rsidR="008651AC" w:rsidRPr="002D5A3A">
        <w:rPr>
          <w:color w:val="000009"/>
        </w:rPr>
        <w:t>;</w:t>
      </w:r>
    </w:p>
    <w:p w14:paraId="21571C95" w14:textId="25F05001" w:rsidR="00D55B0E" w:rsidRDefault="00D55B0E" w:rsidP="00D55B0E">
      <w:pPr>
        <w:pStyle w:val="Ttulo1"/>
        <w:tabs>
          <w:tab w:val="left" w:pos="383"/>
        </w:tabs>
        <w:spacing w:before="127"/>
        <w:rPr>
          <w:color w:val="000009"/>
        </w:rPr>
      </w:pPr>
    </w:p>
    <w:p w14:paraId="0F3A01F8" w14:textId="31DFD65F" w:rsidR="00D55B0E" w:rsidRDefault="00FB4F3B" w:rsidP="00D55B0E">
      <w:pPr>
        <w:pStyle w:val="Ttulo1"/>
        <w:tabs>
          <w:tab w:val="left" w:pos="383"/>
        </w:tabs>
        <w:spacing w:before="127"/>
        <w:rPr>
          <w:b w:val="0"/>
          <w:bCs w:val="0"/>
          <w:color w:val="000009"/>
        </w:rPr>
      </w:pPr>
      <w:r>
        <w:rPr>
          <w:b w:val="0"/>
          <w:bCs w:val="0"/>
          <w:color w:val="000009"/>
        </w:rPr>
        <w:t>Posta em votação a proposta</w:t>
      </w:r>
      <w:r w:rsidR="0053477B">
        <w:rPr>
          <w:b w:val="0"/>
          <w:bCs w:val="0"/>
          <w:color w:val="000009"/>
        </w:rPr>
        <w:t>, a maioria dos membros da Comissão, somados os votos dos presentes com os v</w:t>
      </w:r>
      <w:r w:rsidR="002E6ADF">
        <w:rPr>
          <w:b w:val="0"/>
          <w:bCs w:val="0"/>
          <w:color w:val="000009"/>
        </w:rPr>
        <w:t xml:space="preserve">otantes por meio do grupo de </w:t>
      </w:r>
      <w:r w:rsidR="002E6ADF" w:rsidRPr="002E6ADF">
        <w:rPr>
          <w:b w:val="0"/>
          <w:bCs w:val="0"/>
          <w:i/>
          <w:iCs/>
          <w:color w:val="000009"/>
        </w:rPr>
        <w:t>WhatsApp</w:t>
      </w:r>
      <w:r w:rsidR="002E6ADF">
        <w:rPr>
          <w:b w:val="0"/>
          <w:bCs w:val="0"/>
          <w:color w:val="000009"/>
        </w:rPr>
        <w:t xml:space="preserve"> da COGEN</w:t>
      </w:r>
      <w:r w:rsidR="00E85C34">
        <w:rPr>
          <w:b w:val="0"/>
          <w:bCs w:val="0"/>
          <w:color w:val="000009"/>
        </w:rPr>
        <w:t>, deliberou pela aprovação da criação do boletim periódico informativo das atividades desenvolvidas pela Comissão</w:t>
      </w:r>
      <w:r w:rsidR="00A00842">
        <w:rPr>
          <w:b w:val="0"/>
          <w:bCs w:val="0"/>
          <w:color w:val="000009"/>
        </w:rPr>
        <w:t>.</w:t>
      </w:r>
    </w:p>
    <w:p w14:paraId="38DA67F3" w14:textId="5B3E6EF0" w:rsidR="00227D44" w:rsidRDefault="00227D44" w:rsidP="00D55B0E">
      <w:pPr>
        <w:pStyle w:val="Ttulo1"/>
        <w:tabs>
          <w:tab w:val="left" w:pos="383"/>
        </w:tabs>
        <w:spacing w:before="127"/>
        <w:rPr>
          <w:b w:val="0"/>
          <w:bCs w:val="0"/>
          <w:color w:val="000009"/>
        </w:rPr>
      </w:pPr>
      <w:r>
        <w:rPr>
          <w:b w:val="0"/>
          <w:bCs w:val="0"/>
          <w:color w:val="000009"/>
        </w:rPr>
        <w:t>Em seguida, deliberou-se acerca de qual seria a periodicidade da publicação</w:t>
      </w:r>
      <w:r w:rsidR="004C3FD7">
        <w:rPr>
          <w:b w:val="0"/>
          <w:bCs w:val="0"/>
          <w:color w:val="000009"/>
        </w:rPr>
        <w:t xml:space="preserve">. Foi acolhida a </w:t>
      </w:r>
      <w:r w:rsidR="004C3FD7">
        <w:rPr>
          <w:b w:val="0"/>
          <w:bCs w:val="0"/>
          <w:color w:val="000009"/>
        </w:rPr>
        <w:lastRenderedPageBreak/>
        <w:t xml:space="preserve">proposta do </w:t>
      </w:r>
      <w:r w:rsidR="00E709AB" w:rsidRPr="00E709AB">
        <w:rPr>
          <w:b w:val="0"/>
          <w:bCs w:val="0"/>
          <w:color w:val="000009"/>
        </w:rPr>
        <w:t>Representante do SINTAJ</w:t>
      </w:r>
      <w:r w:rsidR="004C3FD7">
        <w:rPr>
          <w:b w:val="0"/>
          <w:bCs w:val="0"/>
          <w:color w:val="000009"/>
        </w:rPr>
        <w:t xml:space="preserve">, </w:t>
      </w:r>
      <w:r w:rsidR="00E709AB">
        <w:rPr>
          <w:b w:val="0"/>
          <w:bCs w:val="0"/>
          <w:color w:val="000009"/>
        </w:rPr>
        <w:t xml:space="preserve">o servidor </w:t>
      </w:r>
      <w:r w:rsidR="00E709AB" w:rsidRPr="00E709AB">
        <w:rPr>
          <w:b w:val="0"/>
          <w:bCs w:val="0"/>
          <w:color w:val="000009"/>
        </w:rPr>
        <w:t>Bruno Calheira dos Santos</w:t>
      </w:r>
      <w:r w:rsidR="004C3FD7">
        <w:rPr>
          <w:b w:val="0"/>
          <w:bCs w:val="0"/>
          <w:color w:val="000009"/>
        </w:rPr>
        <w:t xml:space="preserve">, de periodicidade </w:t>
      </w:r>
      <w:r w:rsidR="00E709AB">
        <w:rPr>
          <w:b w:val="0"/>
          <w:bCs w:val="0"/>
          <w:color w:val="000009"/>
        </w:rPr>
        <w:t>bimestral</w:t>
      </w:r>
      <w:r w:rsidR="00285D3A">
        <w:rPr>
          <w:b w:val="0"/>
          <w:bCs w:val="0"/>
          <w:color w:val="000009"/>
        </w:rPr>
        <w:t>.</w:t>
      </w:r>
    </w:p>
    <w:p w14:paraId="6AEB1279" w14:textId="77777777" w:rsidR="00D55B0E" w:rsidRPr="00D55B0E" w:rsidRDefault="00D55B0E" w:rsidP="00D55B0E">
      <w:pPr>
        <w:pStyle w:val="Ttulo1"/>
        <w:tabs>
          <w:tab w:val="left" w:pos="383"/>
        </w:tabs>
        <w:spacing w:before="127"/>
      </w:pPr>
    </w:p>
    <w:p w14:paraId="322AD38C" w14:textId="276508DA" w:rsidR="009F1C8E" w:rsidRDefault="0004412A">
      <w:pPr>
        <w:pStyle w:val="Ttulo1"/>
        <w:numPr>
          <w:ilvl w:val="0"/>
          <w:numId w:val="1"/>
        </w:numPr>
        <w:tabs>
          <w:tab w:val="left" w:pos="383"/>
        </w:tabs>
        <w:spacing w:before="127"/>
        <w:ind w:hanging="271"/>
      </w:pPr>
      <w:r w:rsidRPr="0004412A">
        <w:t>Análise da possibilidade de criação de uma página específica da COGEN dentro do endereço eletrônico do PJBA</w:t>
      </w:r>
      <w:r w:rsidR="009F1C8E">
        <w:t>;</w:t>
      </w:r>
    </w:p>
    <w:p w14:paraId="762E6EB5" w14:textId="77777777" w:rsidR="00D05769" w:rsidRDefault="00D05769" w:rsidP="00D05769">
      <w:pPr>
        <w:pStyle w:val="Ttulo1"/>
        <w:tabs>
          <w:tab w:val="left" w:pos="383"/>
        </w:tabs>
        <w:spacing w:before="127"/>
      </w:pPr>
    </w:p>
    <w:p w14:paraId="14D7B56F" w14:textId="77777777" w:rsidR="00D05769" w:rsidRDefault="00D05769" w:rsidP="00D05769">
      <w:pPr>
        <w:pStyle w:val="Ttulo1"/>
        <w:tabs>
          <w:tab w:val="left" w:pos="383"/>
        </w:tabs>
        <w:spacing w:before="127"/>
        <w:rPr>
          <w:b w:val="0"/>
          <w:bCs w:val="0"/>
        </w:rPr>
      </w:pPr>
      <w:r>
        <w:rPr>
          <w:b w:val="0"/>
          <w:bCs w:val="0"/>
        </w:rPr>
        <w:t xml:space="preserve">Dada a palavra ao Doutor </w:t>
      </w:r>
      <w:r w:rsidRPr="001C5332">
        <w:rPr>
          <w:b w:val="0"/>
          <w:bCs w:val="0"/>
        </w:rPr>
        <w:t>Guilherme Vitor de Gonzaga Camilo</w:t>
      </w:r>
      <w:r>
        <w:rPr>
          <w:b w:val="0"/>
          <w:bCs w:val="0"/>
        </w:rPr>
        <w:t>, por ele foi detalhado o estado atual da proposta: a possibilidade existe, já conta com o aval da ASCOM, e se estava, no momento, na fase de elaboração de uma primeira versão dessa página, a ser tornada pública na maior brevidade possível, com a qualidade que a atividade demanda.</w:t>
      </w:r>
    </w:p>
    <w:p w14:paraId="32582244" w14:textId="77777777" w:rsidR="00D05769" w:rsidRDefault="00D05769" w:rsidP="00D05769">
      <w:pPr>
        <w:pStyle w:val="Ttulo1"/>
        <w:tabs>
          <w:tab w:val="left" w:pos="383"/>
        </w:tabs>
        <w:spacing w:before="127"/>
        <w:rPr>
          <w:b w:val="0"/>
          <w:bCs w:val="0"/>
        </w:rPr>
      </w:pPr>
      <w:r>
        <w:rPr>
          <w:b w:val="0"/>
          <w:bCs w:val="0"/>
        </w:rPr>
        <w:t>O Presidente da COGEN, Doutor Mário Soares Caymmi Gomes, apresentou a página da Comissão de Acessibilidade do PJBA como exemplo positivo a ser seguido, com as devidas adaptações resultantes das características próprias da Comissão LGBTQIAPN+ do Tribunal.</w:t>
      </w:r>
    </w:p>
    <w:p w14:paraId="10CFAC57" w14:textId="7A27545B" w:rsidR="00D05769" w:rsidRDefault="00D05769" w:rsidP="00D05769">
      <w:pPr>
        <w:pStyle w:val="Ttulo1"/>
        <w:tabs>
          <w:tab w:val="left" w:pos="383"/>
        </w:tabs>
        <w:spacing w:before="127"/>
      </w:pPr>
      <w:r>
        <w:rPr>
          <w:b w:val="0"/>
          <w:bCs w:val="0"/>
        </w:rPr>
        <w:t>Em seguida, deliberou-se pela inclusão, na pauta da próxima Reunião Ordinária da COGEN, em setembro, da apresentação, pela subcomissão responsável, dos avanços obtidos no caminho de concretização do endereço eletrônico da Comissão na rede mundial de computadores.</w:t>
      </w:r>
    </w:p>
    <w:p w14:paraId="20591718" w14:textId="77777777" w:rsidR="00D05769" w:rsidRDefault="00D05769" w:rsidP="00D05769">
      <w:pPr>
        <w:pStyle w:val="Ttulo1"/>
        <w:tabs>
          <w:tab w:val="left" w:pos="383"/>
        </w:tabs>
        <w:spacing w:before="127"/>
      </w:pPr>
    </w:p>
    <w:p w14:paraId="480ABD18" w14:textId="14F94EC0" w:rsidR="004A35B4" w:rsidRDefault="00D05769">
      <w:pPr>
        <w:pStyle w:val="Ttulo1"/>
        <w:numPr>
          <w:ilvl w:val="0"/>
          <w:numId w:val="1"/>
        </w:numPr>
        <w:tabs>
          <w:tab w:val="left" w:pos="383"/>
        </w:tabs>
        <w:spacing w:before="127"/>
        <w:ind w:hanging="271"/>
      </w:pPr>
      <w:r w:rsidRPr="00D05769">
        <w:t>Análise da possibilidade de criação de uma espaço, de responsabilidade da COGEN, no qual violações de direitos das populações LGBTQIAPN+ possam ser denunciadas e expostas</w:t>
      </w:r>
      <w:r>
        <w:t>;</w:t>
      </w:r>
    </w:p>
    <w:p w14:paraId="14063B71" w14:textId="4E230D41" w:rsidR="009F1C8E" w:rsidRDefault="009F1C8E" w:rsidP="009F1C8E">
      <w:pPr>
        <w:pStyle w:val="Ttulo1"/>
        <w:tabs>
          <w:tab w:val="left" w:pos="383"/>
        </w:tabs>
        <w:spacing w:before="127"/>
      </w:pPr>
    </w:p>
    <w:p w14:paraId="0839E605" w14:textId="77777777" w:rsidR="001E39BB" w:rsidRDefault="00EE266A" w:rsidP="009F1C8E">
      <w:pPr>
        <w:pStyle w:val="Ttulo1"/>
        <w:tabs>
          <w:tab w:val="left" w:pos="383"/>
        </w:tabs>
        <w:spacing w:before="127"/>
        <w:rPr>
          <w:b w:val="0"/>
          <w:bCs w:val="0"/>
        </w:rPr>
      </w:pPr>
      <w:r>
        <w:rPr>
          <w:b w:val="0"/>
          <w:bCs w:val="0"/>
        </w:rPr>
        <w:t>O Presidente da COGEN, Doutor Mário Soares Caymmi Gomes</w:t>
      </w:r>
      <w:r w:rsidR="007E7DBE">
        <w:rPr>
          <w:b w:val="0"/>
          <w:bCs w:val="0"/>
        </w:rPr>
        <w:t xml:space="preserve">, inicialmente ponderou que esse espaço deveria servir para tratar as denúncias como </w:t>
      </w:r>
      <w:r w:rsidR="00232C54">
        <w:rPr>
          <w:b w:val="0"/>
          <w:bCs w:val="0"/>
        </w:rPr>
        <w:t xml:space="preserve">comunicações à Comissão de </w:t>
      </w:r>
      <w:r w:rsidR="00C73C3C">
        <w:rPr>
          <w:b w:val="0"/>
          <w:bCs w:val="0"/>
        </w:rPr>
        <w:t xml:space="preserve">casos de preconceito, evitando polêmicas em torna da competência criminal </w:t>
      </w:r>
      <w:r w:rsidR="0065378E">
        <w:rPr>
          <w:b w:val="0"/>
          <w:bCs w:val="0"/>
        </w:rPr>
        <w:t xml:space="preserve">e indispensável formação da culpa </w:t>
      </w:r>
      <w:r w:rsidR="00286DB7">
        <w:rPr>
          <w:b w:val="0"/>
          <w:bCs w:val="0"/>
        </w:rPr>
        <w:t>do denunciado</w:t>
      </w:r>
      <w:r w:rsidR="00E454D2">
        <w:rPr>
          <w:b w:val="0"/>
          <w:bCs w:val="0"/>
        </w:rPr>
        <w:t>.</w:t>
      </w:r>
      <w:r w:rsidR="00CF527C">
        <w:rPr>
          <w:b w:val="0"/>
          <w:bCs w:val="0"/>
        </w:rPr>
        <w:t xml:space="preserve"> </w:t>
      </w:r>
      <w:r w:rsidR="004217A9">
        <w:rPr>
          <w:b w:val="0"/>
          <w:bCs w:val="0"/>
        </w:rPr>
        <w:t>Havendo características de conduta preconceituosa</w:t>
      </w:r>
      <w:r w:rsidR="004144BD">
        <w:rPr>
          <w:b w:val="0"/>
          <w:bCs w:val="0"/>
        </w:rPr>
        <w:t xml:space="preserve">, havendo ou não dolo no ato a Comissão poderia atuar livremente </w:t>
      </w:r>
      <w:r w:rsidR="005458B7">
        <w:rPr>
          <w:b w:val="0"/>
          <w:bCs w:val="0"/>
        </w:rPr>
        <w:t xml:space="preserve">tanto </w:t>
      </w:r>
      <w:r w:rsidR="004144BD">
        <w:rPr>
          <w:b w:val="0"/>
          <w:bCs w:val="0"/>
        </w:rPr>
        <w:t xml:space="preserve">como instância de mediação do conflito </w:t>
      </w:r>
      <w:r w:rsidR="005458B7">
        <w:rPr>
          <w:b w:val="0"/>
          <w:bCs w:val="0"/>
        </w:rPr>
        <w:t xml:space="preserve">concreto como </w:t>
      </w:r>
      <w:r w:rsidR="00EF5893">
        <w:rPr>
          <w:b w:val="0"/>
          <w:bCs w:val="0"/>
        </w:rPr>
        <w:t>exercendo seu papel institucional de promover</w:t>
      </w:r>
      <w:r w:rsidR="00594D26">
        <w:rPr>
          <w:b w:val="0"/>
          <w:bCs w:val="0"/>
        </w:rPr>
        <w:t xml:space="preserve"> conscientização, visibilidade e educação sobre</w:t>
      </w:r>
      <w:r w:rsidR="00C96731">
        <w:rPr>
          <w:b w:val="0"/>
          <w:bCs w:val="0"/>
        </w:rPr>
        <w:t xml:space="preserve"> as populações LGBTQIAPN+ como sujeitos de direitos </w:t>
      </w:r>
      <w:r w:rsidR="00CE0667">
        <w:rPr>
          <w:b w:val="0"/>
          <w:bCs w:val="0"/>
        </w:rPr>
        <w:t xml:space="preserve">específicos, além dos </w:t>
      </w:r>
      <w:r w:rsidR="00DB1799">
        <w:rPr>
          <w:b w:val="0"/>
          <w:bCs w:val="0"/>
        </w:rPr>
        <w:t xml:space="preserve">comuns a </w:t>
      </w:r>
      <w:r w:rsidR="00847B8B">
        <w:rPr>
          <w:b w:val="0"/>
          <w:bCs w:val="0"/>
        </w:rPr>
        <w:t>todos, dada a sua particular condição atual de minoria social</w:t>
      </w:r>
      <w:r w:rsidR="00DC5DFD">
        <w:rPr>
          <w:b w:val="0"/>
          <w:bCs w:val="0"/>
        </w:rPr>
        <w:t xml:space="preserve"> </w:t>
      </w:r>
      <w:r w:rsidR="006A79EA">
        <w:rPr>
          <w:b w:val="0"/>
          <w:bCs w:val="0"/>
        </w:rPr>
        <w:t>com espaço de liberdade artificial e ilicitamente reduzido.</w:t>
      </w:r>
    </w:p>
    <w:p w14:paraId="10071D69" w14:textId="734FBEB4" w:rsidR="00756B00" w:rsidRDefault="001E39BB" w:rsidP="009F1C8E">
      <w:pPr>
        <w:pStyle w:val="Ttulo1"/>
        <w:tabs>
          <w:tab w:val="left" w:pos="383"/>
        </w:tabs>
        <w:spacing w:before="127"/>
        <w:rPr>
          <w:b w:val="0"/>
          <w:bCs w:val="0"/>
        </w:rPr>
      </w:pPr>
      <w:r>
        <w:rPr>
          <w:b w:val="0"/>
          <w:bCs w:val="0"/>
        </w:rPr>
        <w:t>Acrescentou que, inclusive por respeito à vedação constitucional d</w:t>
      </w:r>
      <w:r w:rsidR="006570A4">
        <w:rPr>
          <w:b w:val="0"/>
          <w:bCs w:val="0"/>
        </w:rPr>
        <w:t>a denúncia anônima, seria necessário o estabelecimento de critérios mínimos legitimadores do acolhimento</w:t>
      </w:r>
      <w:r w:rsidR="0086213B">
        <w:rPr>
          <w:b w:val="0"/>
          <w:bCs w:val="0"/>
        </w:rPr>
        <w:t xml:space="preserve"> das comunicações pela Comissão</w:t>
      </w:r>
      <w:r w:rsidR="00147FF5">
        <w:rPr>
          <w:b w:val="0"/>
          <w:bCs w:val="0"/>
        </w:rPr>
        <w:t xml:space="preserve"> – como, por exemplo, que o denunciante se identifique</w:t>
      </w:r>
      <w:r w:rsidR="00DB688A">
        <w:rPr>
          <w:b w:val="0"/>
          <w:bCs w:val="0"/>
        </w:rPr>
        <w:t xml:space="preserve"> à COGEN</w:t>
      </w:r>
      <w:r w:rsidR="00147FF5">
        <w:rPr>
          <w:b w:val="0"/>
          <w:bCs w:val="0"/>
        </w:rPr>
        <w:t>, ainda que seja acatado o seu pedido de não ver seu nome divulgado</w:t>
      </w:r>
      <w:r w:rsidR="00DB688A">
        <w:rPr>
          <w:b w:val="0"/>
          <w:bCs w:val="0"/>
        </w:rPr>
        <w:t xml:space="preserve"> publicamente.</w:t>
      </w:r>
      <w:r w:rsidR="00121660">
        <w:rPr>
          <w:b w:val="0"/>
          <w:bCs w:val="0"/>
        </w:rPr>
        <w:t xml:space="preserve"> Da mesma forma, o denunciado pode não ser identificado, mas o seu âmbito de atuação </w:t>
      </w:r>
      <w:r w:rsidR="00382E8B">
        <w:rPr>
          <w:b w:val="0"/>
          <w:bCs w:val="0"/>
        </w:rPr>
        <w:t>precisaria ser, permitindo com que a COGEN atuasse</w:t>
      </w:r>
      <w:r w:rsidR="00EC6C7C">
        <w:rPr>
          <w:b w:val="0"/>
          <w:bCs w:val="0"/>
        </w:rPr>
        <w:t xml:space="preserve"> em seu papel</w:t>
      </w:r>
      <w:r w:rsidR="00EC6C7C" w:rsidRPr="00EC6C7C">
        <w:t xml:space="preserve"> </w:t>
      </w:r>
      <w:r w:rsidR="00EC6C7C" w:rsidRPr="00EC6C7C">
        <w:rPr>
          <w:b w:val="0"/>
          <w:bCs w:val="0"/>
        </w:rPr>
        <w:t>de</w:t>
      </w:r>
      <w:r w:rsidR="00EC6C7C">
        <w:t xml:space="preserve"> </w:t>
      </w:r>
      <w:r w:rsidR="00EC6C7C" w:rsidRPr="00EC6C7C">
        <w:rPr>
          <w:b w:val="0"/>
          <w:bCs w:val="0"/>
        </w:rPr>
        <w:t>promo</w:t>
      </w:r>
      <w:r w:rsidR="00EC6C7C">
        <w:rPr>
          <w:b w:val="0"/>
          <w:bCs w:val="0"/>
        </w:rPr>
        <w:t>ção</w:t>
      </w:r>
      <w:r w:rsidR="00415E97">
        <w:rPr>
          <w:b w:val="0"/>
          <w:bCs w:val="0"/>
        </w:rPr>
        <w:t xml:space="preserve"> de</w:t>
      </w:r>
      <w:r w:rsidR="00EC6C7C" w:rsidRPr="00EC6C7C">
        <w:rPr>
          <w:b w:val="0"/>
          <w:bCs w:val="0"/>
        </w:rPr>
        <w:t xml:space="preserve"> conscientização, visibilidade e educação sobre as populações LGBTQIAPN+ como sujeitos de direitos específicos</w:t>
      </w:r>
      <w:r w:rsidR="00415E97">
        <w:rPr>
          <w:b w:val="0"/>
          <w:bCs w:val="0"/>
        </w:rPr>
        <w:t xml:space="preserve"> </w:t>
      </w:r>
      <w:r w:rsidR="005033EC">
        <w:rPr>
          <w:b w:val="0"/>
          <w:bCs w:val="0"/>
        </w:rPr>
        <w:t xml:space="preserve">apenas </w:t>
      </w:r>
      <w:r w:rsidR="00415E97">
        <w:rPr>
          <w:b w:val="0"/>
          <w:bCs w:val="0"/>
        </w:rPr>
        <w:t xml:space="preserve">naquele ambiente, ainda que de forma </w:t>
      </w:r>
      <w:r w:rsidR="00507AE5">
        <w:rPr>
          <w:b w:val="0"/>
          <w:bCs w:val="0"/>
        </w:rPr>
        <w:t xml:space="preserve">generalizada e inespecífica, sobre a equipe de colaboradores vinculada </w:t>
      </w:r>
      <w:r w:rsidR="00CE04C7">
        <w:rPr>
          <w:b w:val="0"/>
          <w:bCs w:val="0"/>
        </w:rPr>
        <w:t xml:space="preserve">apenas </w:t>
      </w:r>
      <w:r w:rsidR="00507AE5">
        <w:rPr>
          <w:b w:val="0"/>
          <w:bCs w:val="0"/>
        </w:rPr>
        <w:t>ao local</w:t>
      </w:r>
      <w:r w:rsidR="00424929">
        <w:rPr>
          <w:b w:val="0"/>
          <w:bCs w:val="0"/>
        </w:rPr>
        <w:t xml:space="preserve"> no qual a conduta preconceituosa comunicada teria ocorrido</w:t>
      </w:r>
      <w:r w:rsidR="00D61C82">
        <w:rPr>
          <w:b w:val="0"/>
          <w:bCs w:val="0"/>
        </w:rPr>
        <w:t xml:space="preserve">, evitando o desgaste de, em toda </w:t>
      </w:r>
      <w:r w:rsidR="00DA200F">
        <w:rPr>
          <w:b w:val="0"/>
          <w:bCs w:val="0"/>
        </w:rPr>
        <w:t>comunicação</w:t>
      </w:r>
      <w:r w:rsidR="00D61C82">
        <w:rPr>
          <w:b w:val="0"/>
          <w:bCs w:val="0"/>
        </w:rPr>
        <w:t>, ser promovid</w:t>
      </w:r>
      <w:r w:rsidR="00DA200F">
        <w:rPr>
          <w:b w:val="0"/>
          <w:bCs w:val="0"/>
        </w:rPr>
        <w:t>a uma ação generalizada em todo o PJBA</w:t>
      </w:r>
      <w:r w:rsidR="00D23FD1">
        <w:rPr>
          <w:b w:val="0"/>
          <w:bCs w:val="0"/>
        </w:rPr>
        <w:t>, banalizando inclusive tal atuação.</w:t>
      </w:r>
      <w:r w:rsidR="00894886">
        <w:rPr>
          <w:b w:val="0"/>
          <w:bCs w:val="0"/>
        </w:rPr>
        <w:t xml:space="preserve"> Sugeriu que, entretanto, </w:t>
      </w:r>
      <w:r w:rsidR="000B3F60">
        <w:rPr>
          <w:b w:val="0"/>
          <w:bCs w:val="0"/>
        </w:rPr>
        <w:t xml:space="preserve">a atuação da COGEN naquele espaço deveria ser de </w:t>
      </w:r>
      <w:r w:rsidR="0071485E">
        <w:rPr>
          <w:b w:val="0"/>
          <w:bCs w:val="0"/>
        </w:rPr>
        <w:t>participação</w:t>
      </w:r>
      <w:r w:rsidR="000B3F60">
        <w:rPr>
          <w:b w:val="0"/>
          <w:bCs w:val="0"/>
        </w:rPr>
        <w:t xml:space="preserve"> obrigatóri</w:t>
      </w:r>
      <w:r w:rsidR="0071485E">
        <w:rPr>
          <w:b w:val="0"/>
          <w:bCs w:val="0"/>
        </w:rPr>
        <w:t>a</w:t>
      </w:r>
      <w:r w:rsidR="000B3F60">
        <w:rPr>
          <w:b w:val="0"/>
          <w:bCs w:val="0"/>
        </w:rPr>
        <w:t xml:space="preserve"> de todas as pessoas </w:t>
      </w:r>
      <w:r w:rsidR="0071485E">
        <w:rPr>
          <w:b w:val="0"/>
          <w:bCs w:val="0"/>
        </w:rPr>
        <w:t>ali atuantes – salvo, por óbvio, fundamento válido para a ausência</w:t>
      </w:r>
      <w:r w:rsidR="00C05ED3">
        <w:rPr>
          <w:b w:val="0"/>
          <w:bCs w:val="0"/>
        </w:rPr>
        <w:t xml:space="preserve"> de algum integrante da equipe de colaboradores local.</w:t>
      </w:r>
      <w:r w:rsidR="0071485E">
        <w:rPr>
          <w:b w:val="0"/>
          <w:bCs w:val="0"/>
        </w:rPr>
        <w:t xml:space="preserve"> </w:t>
      </w:r>
      <w:r w:rsidR="005033EC">
        <w:rPr>
          <w:b w:val="0"/>
          <w:bCs w:val="0"/>
        </w:rPr>
        <w:t xml:space="preserve">A </w:t>
      </w:r>
      <w:r w:rsidR="00B70181">
        <w:rPr>
          <w:b w:val="0"/>
          <w:bCs w:val="0"/>
        </w:rPr>
        <w:t xml:space="preserve">notificação, tanto da comunicação feita à COGEN quanto da </w:t>
      </w:r>
      <w:r w:rsidR="00346A32">
        <w:rPr>
          <w:b w:val="0"/>
          <w:bCs w:val="0"/>
        </w:rPr>
        <w:t xml:space="preserve">atuação da Comissão sobre o possível ato de preconceito </w:t>
      </w:r>
      <w:r w:rsidR="009203DA">
        <w:rPr>
          <w:b w:val="0"/>
          <w:bCs w:val="0"/>
        </w:rPr>
        <w:t>seria feit</w:t>
      </w:r>
      <w:r w:rsidR="00346A32">
        <w:rPr>
          <w:b w:val="0"/>
          <w:bCs w:val="0"/>
        </w:rPr>
        <w:t>a</w:t>
      </w:r>
      <w:r w:rsidR="009203DA">
        <w:rPr>
          <w:b w:val="0"/>
          <w:bCs w:val="0"/>
        </w:rPr>
        <w:t xml:space="preserve"> ao </w:t>
      </w:r>
      <w:r w:rsidR="009203DA">
        <w:rPr>
          <w:b w:val="0"/>
          <w:bCs w:val="0"/>
        </w:rPr>
        <w:lastRenderedPageBreak/>
        <w:t>superior hierárquico responsável pelo ambiente</w:t>
      </w:r>
      <w:r w:rsidR="009A144D">
        <w:rPr>
          <w:b w:val="0"/>
          <w:bCs w:val="0"/>
        </w:rPr>
        <w:t xml:space="preserve">, e a partir dele acordado dia, horário e convocação de comparecimento </w:t>
      </w:r>
      <w:r w:rsidR="004973F3">
        <w:rPr>
          <w:b w:val="0"/>
          <w:bCs w:val="0"/>
        </w:rPr>
        <w:t xml:space="preserve">obrigatório </w:t>
      </w:r>
      <w:r w:rsidR="009A144D">
        <w:rPr>
          <w:b w:val="0"/>
          <w:bCs w:val="0"/>
        </w:rPr>
        <w:t>dos colaboradores envolvidos.</w:t>
      </w:r>
    </w:p>
    <w:p w14:paraId="4EAE40D2" w14:textId="734131F9" w:rsidR="002C54A3" w:rsidRDefault="00756B00" w:rsidP="009F1C8E">
      <w:pPr>
        <w:pStyle w:val="Ttulo1"/>
        <w:tabs>
          <w:tab w:val="left" w:pos="383"/>
        </w:tabs>
        <w:spacing w:before="127"/>
        <w:rPr>
          <w:b w:val="0"/>
          <w:bCs w:val="0"/>
        </w:rPr>
      </w:pPr>
      <w:r>
        <w:rPr>
          <w:b w:val="0"/>
          <w:bCs w:val="0"/>
        </w:rPr>
        <w:t xml:space="preserve">Ponderou também que as comunicações poderiam inclusive ser feitas pelo público externo ao PJBA, desde que </w:t>
      </w:r>
      <w:r w:rsidR="00DA7C36">
        <w:rPr>
          <w:b w:val="0"/>
          <w:bCs w:val="0"/>
        </w:rPr>
        <w:t>o agente das condutas tenha vínculo com o Tribunal.</w:t>
      </w:r>
      <w:r w:rsidR="00594D26">
        <w:rPr>
          <w:b w:val="0"/>
          <w:bCs w:val="0"/>
        </w:rPr>
        <w:t xml:space="preserve"> </w:t>
      </w:r>
      <w:r w:rsidR="00766BB8">
        <w:rPr>
          <w:b w:val="0"/>
          <w:bCs w:val="0"/>
        </w:rPr>
        <w:t xml:space="preserve">Outrossim, </w:t>
      </w:r>
      <w:r w:rsidR="00421BB2">
        <w:rPr>
          <w:b w:val="0"/>
          <w:bCs w:val="0"/>
        </w:rPr>
        <w:t xml:space="preserve">sugeriu que a atuação pudesse ser realizada tanto de forma presencial como virtual, possibilitando que </w:t>
      </w:r>
      <w:r w:rsidR="007D1EC4">
        <w:rPr>
          <w:b w:val="0"/>
          <w:bCs w:val="0"/>
        </w:rPr>
        <w:t>a COGEN interviesse em situações conflituosas mesmo no interior do Estado.</w:t>
      </w:r>
      <w:r w:rsidR="00C0026F">
        <w:rPr>
          <w:b w:val="0"/>
          <w:bCs w:val="0"/>
        </w:rPr>
        <w:t xml:space="preserve"> Acrescentou que a atuação da Comissão também precisa ser concisa, </w:t>
      </w:r>
      <w:r w:rsidR="00BD6598">
        <w:rPr>
          <w:b w:val="0"/>
          <w:bCs w:val="0"/>
        </w:rPr>
        <w:t xml:space="preserve">com duração máxima de </w:t>
      </w:r>
      <w:r w:rsidR="002830F2">
        <w:rPr>
          <w:b w:val="0"/>
          <w:bCs w:val="0"/>
        </w:rPr>
        <w:t xml:space="preserve">1 (uma) hora, </w:t>
      </w:r>
      <w:r w:rsidR="004E722D">
        <w:rPr>
          <w:b w:val="0"/>
          <w:bCs w:val="0"/>
        </w:rPr>
        <w:t xml:space="preserve">para não causar muito distúrbio no funcionamento regular do ambiente </w:t>
      </w:r>
      <w:r w:rsidR="00BD6598">
        <w:rPr>
          <w:b w:val="0"/>
          <w:bCs w:val="0"/>
        </w:rPr>
        <w:t>sobre o qual atuará.</w:t>
      </w:r>
    </w:p>
    <w:p w14:paraId="78B0E20C" w14:textId="4B395AB9" w:rsidR="00BF0465" w:rsidRPr="009D3A12" w:rsidRDefault="00BF0465" w:rsidP="009F1C8E">
      <w:pPr>
        <w:pStyle w:val="Ttulo1"/>
        <w:tabs>
          <w:tab w:val="left" w:pos="383"/>
        </w:tabs>
        <w:spacing w:before="127"/>
        <w:rPr>
          <w:b w:val="0"/>
          <w:bCs w:val="0"/>
        </w:rPr>
      </w:pPr>
      <w:r>
        <w:rPr>
          <w:b w:val="0"/>
          <w:bCs w:val="0"/>
        </w:rPr>
        <w:t xml:space="preserve">Aberta a palavra aos demais membros, o Doutor </w:t>
      </w:r>
      <w:r w:rsidR="007257D0" w:rsidRPr="007257D0">
        <w:rPr>
          <w:b w:val="0"/>
          <w:bCs w:val="0"/>
        </w:rPr>
        <w:t>Guilherme Vitor de Gonzaga Camilo</w:t>
      </w:r>
      <w:r w:rsidR="007257D0">
        <w:rPr>
          <w:b w:val="0"/>
          <w:bCs w:val="0"/>
        </w:rPr>
        <w:t xml:space="preserve"> sugeriu atuação conjunta com a Comissão de Assédio do PJBA, que já conta com estrutura e pessoal capacitado para acolhimento </w:t>
      </w:r>
      <w:r w:rsidR="00142F67">
        <w:rPr>
          <w:b w:val="0"/>
          <w:bCs w:val="0"/>
        </w:rPr>
        <w:t xml:space="preserve">das vítimas </w:t>
      </w:r>
      <w:r w:rsidR="007257D0">
        <w:rPr>
          <w:b w:val="0"/>
          <w:bCs w:val="0"/>
        </w:rPr>
        <w:t>e recepção de denúncias.</w:t>
      </w:r>
      <w:r w:rsidR="00381A33">
        <w:rPr>
          <w:b w:val="0"/>
          <w:bCs w:val="0"/>
        </w:rPr>
        <w:t xml:space="preserve"> A</w:t>
      </w:r>
      <w:r w:rsidR="00B0107B">
        <w:rPr>
          <w:b w:val="0"/>
          <w:bCs w:val="0"/>
        </w:rPr>
        <w:t xml:space="preserve"> sugestão foi acolhida, ponderando-se que a divisão colaborativa mais eficaz seria a Comissão de Assédio cuidando do acolhimento da vítima, e a COGEN </w:t>
      </w:r>
      <w:r w:rsidR="00D15832">
        <w:rPr>
          <w:b w:val="0"/>
          <w:bCs w:val="0"/>
        </w:rPr>
        <w:t xml:space="preserve">atuando de forma educativa sobre o ambiente </w:t>
      </w:r>
      <w:r w:rsidR="004F3024">
        <w:rPr>
          <w:b w:val="0"/>
          <w:bCs w:val="0"/>
        </w:rPr>
        <w:t>opressor e seus colaborad</w:t>
      </w:r>
      <w:r w:rsidR="00844CDB">
        <w:rPr>
          <w:b w:val="0"/>
          <w:bCs w:val="0"/>
        </w:rPr>
        <w:t>or</w:t>
      </w:r>
      <w:r w:rsidR="004F3024">
        <w:rPr>
          <w:b w:val="0"/>
          <w:bCs w:val="0"/>
        </w:rPr>
        <w:t xml:space="preserve">es </w:t>
      </w:r>
      <w:r w:rsidR="00844CDB">
        <w:rPr>
          <w:b w:val="0"/>
          <w:bCs w:val="0"/>
        </w:rPr>
        <w:t>diretos.</w:t>
      </w:r>
    </w:p>
    <w:p w14:paraId="4CD52FAE" w14:textId="77777777" w:rsidR="009F1C8E" w:rsidRDefault="009F1C8E" w:rsidP="009F1C8E">
      <w:pPr>
        <w:pStyle w:val="Ttulo1"/>
        <w:tabs>
          <w:tab w:val="left" w:pos="383"/>
        </w:tabs>
        <w:spacing w:before="127"/>
      </w:pPr>
    </w:p>
    <w:p w14:paraId="197EC174" w14:textId="5AE9FD46" w:rsidR="00C451E4" w:rsidRDefault="00114189" w:rsidP="00114189">
      <w:pPr>
        <w:pStyle w:val="Ttulo1"/>
        <w:tabs>
          <w:tab w:val="left" w:pos="383"/>
        </w:tabs>
        <w:spacing w:before="120"/>
        <w:ind w:left="0"/>
        <w:rPr>
          <w:b w:val="0"/>
          <w:bCs w:val="0"/>
        </w:rPr>
      </w:pPr>
      <w:r>
        <w:rPr>
          <w:b w:val="0"/>
          <w:bCs w:val="0"/>
        </w:rPr>
        <w:t>Por fim, ficou definida a data de 2</w:t>
      </w:r>
      <w:r w:rsidR="00844CDB">
        <w:rPr>
          <w:b w:val="0"/>
          <w:bCs w:val="0"/>
        </w:rPr>
        <w:t>5</w:t>
      </w:r>
      <w:r>
        <w:rPr>
          <w:b w:val="0"/>
          <w:bCs w:val="0"/>
        </w:rPr>
        <w:t xml:space="preserve"> de </w:t>
      </w:r>
      <w:r w:rsidR="00844CDB">
        <w:rPr>
          <w:b w:val="0"/>
          <w:bCs w:val="0"/>
        </w:rPr>
        <w:t xml:space="preserve">setembro </w:t>
      </w:r>
      <w:r w:rsidR="00703FC8">
        <w:rPr>
          <w:b w:val="0"/>
          <w:bCs w:val="0"/>
        </w:rPr>
        <w:t>do corrente ano,</w:t>
      </w:r>
      <w:r w:rsidR="00703FC8" w:rsidRPr="00703FC8">
        <w:rPr>
          <w:b w:val="0"/>
          <w:bCs w:val="0"/>
        </w:rPr>
        <w:t xml:space="preserve"> </w:t>
      </w:r>
      <w:r w:rsidR="00703FC8">
        <w:rPr>
          <w:b w:val="0"/>
          <w:bCs w:val="0"/>
        </w:rPr>
        <w:t>às 14h,</w:t>
      </w:r>
      <w:r w:rsidR="00E22C81">
        <w:rPr>
          <w:b w:val="0"/>
          <w:bCs w:val="0"/>
        </w:rPr>
        <w:t xml:space="preserve"> para a 2</w:t>
      </w:r>
      <w:r w:rsidR="00844CDB">
        <w:rPr>
          <w:b w:val="0"/>
          <w:bCs w:val="0"/>
        </w:rPr>
        <w:t>7</w:t>
      </w:r>
      <w:r w:rsidR="00E22C81">
        <w:rPr>
          <w:b w:val="0"/>
          <w:bCs w:val="0"/>
        </w:rPr>
        <w:t xml:space="preserve">ª </w:t>
      </w:r>
      <w:r w:rsidR="00E22C81" w:rsidRPr="00E22C81">
        <w:rPr>
          <w:b w:val="0"/>
          <w:bCs w:val="0"/>
        </w:rPr>
        <w:t>Reunião Ordinária da COGEN</w:t>
      </w:r>
      <w:r w:rsidR="00E22C81">
        <w:rPr>
          <w:b w:val="0"/>
          <w:bCs w:val="0"/>
        </w:rPr>
        <w:t>.</w:t>
      </w:r>
    </w:p>
    <w:p w14:paraId="6A3879BC" w14:textId="4D896DE9" w:rsidR="009F3B5C" w:rsidRDefault="00FD4E0A" w:rsidP="007D7B6D">
      <w:pPr>
        <w:pStyle w:val="Ttulo1"/>
        <w:tabs>
          <w:tab w:val="left" w:pos="383"/>
        </w:tabs>
        <w:spacing w:before="120"/>
        <w:rPr>
          <w:b w:val="0"/>
          <w:bCs w:val="0"/>
        </w:rPr>
      </w:pPr>
      <w:r w:rsidRPr="003F5FA4">
        <w:rPr>
          <w:b w:val="0"/>
          <w:bCs w:val="0"/>
        </w:rPr>
        <w:t>F</w:t>
      </w:r>
      <w:r>
        <w:rPr>
          <w:b w:val="0"/>
          <w:bCs w:val="0"/>
        </w:rPr>
        <w:t>eit</w:t>
      </w:r>
      <w:r w:rsidR="00DA57D1">
        <w:rPr>
          <w:b w:val="0"/>
          <w:bCs w:val="0"/>
        </w:rPr>
        <w:t>o</w:t>
      </w:r>
      <w:r>
        <w:rPr>
          <w:b w:val="0"/>
          <w:bCs w:val="0"/>
        </w:rPr>
        <w:t xml:space="preserve">s </w:t>
      </w:r>
      <w:r w:rsidR="00DA57D1">
        <w:rPr>
          <w:b w:val="0"/>
          <w:bCs w:val="0"/>
        </w:rPr>
        <w:t xml:space="preserve">os agradecimentos </w:t>
      </w:r>
      <w:r>
        <w:rPr>
          <w:b w:val="0"/>
          <w:bCs w:val="0"/>
        </w:rPr>
        <w:t xml:space="preserve">finais, foi dada por encerrada a </w:t>
      </w:r>
      <w:r w:rsidR="0064098E">
        <w:rPr>
          <w:b w:val="0"/>
          <w:bCs w:val="0"/>
        </w:rPr>
        <w:t>2</w:t>
      </w:r>
      <w:r w:rsidR="00047C98">
        <w:rPr>
          <w:b w:val="0"/>
          <w:bCs w:val="0"/>
        </w:rPr>
        <w:t>6</w:t>
      </w:r>
      <w:r>
        <w:rPr>
          <w:b w:val="0"/>
          <w:bCs w:val="0"/>
        </w:rPr>
        <w:t>ª Reunião Ordinária da COGEN.</w:t>
      </w:r>
    </w:p>
    <w:p w14:paraId="4216CA8C" w14:textId="0995B6B4" w:rsidR="00A23AD3" w:rsidRDefault="00FD4E0A" w:rsidP="00A23AD3">
      <w:pPr>
        <w:pStyle w:val="Ttulo1"/>
        <w:tabs>
          <w:tab w:val="left" w:pos="383"/>
        </w:tabs>
        <w:spacing w:before="120"/>
        <w:rPr>
          <w:noProof/>
        </w:rPr>
      </w:pPr>
      <w:r>
        <w:rPr>
          <w:b w:val="0"/>
          <w:bCs w:val="0"/>
        </w:rPr>
        <w:t xml:space="preserve"> </w:t>
      </w:r>
    </w:p>
    <w:p w14:paraId="0AD43584" w14:textId="53D233B7" w:rsidR="00BF6185" w:rsidRDefault="00A23AD3" w:rsidP="00BF6185">
      <w:pPr>
        <w:pStyle w:val="Ttulo1"/>
        <w:tabs>
          <w:tab w:val="left" w:pos="383"/>
        </w:tabs>
        <w:spacing w:before="120"/>
        <w:jc w:val="center"/>
        <w:rPr>
          <w:noProof/>
        </w:rPr>
      </w:pPr>
      <w:r>
        <w:rPr>
          <w:noProof/>
        </w:rPr>
        <w:drawing>
          <wp:inline distT="0" distB="0" distL="0" distR="0" wp14:anchorId="1EC29455" wp14:editId="35212697">
            <wp:extent cx="6307233" cy="2824008"/>
            <wp:effectExtent l="0" t="0" r="0" b="0"/>
            <wp:docPr id="1917670295" name="Imagem 1" descr="Foto preta e branca de pessoas na t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670295" name="Imagem 1" descr="Foto preta e branca de pessoas na tela&#10;&#10;Descrição gerada automaticamente"/>
                    <pic:cNvPicPr/>
                  </pic:nvPicPr>
                  <pic:blipFill rotWithShape="1">
                    <a:blip r:embed="rId7"/>
                    <a:srcRect l="68" t="17385" r="-113" b="2985"/>
                    <a:stretch/>
                  </pic:blipFill>
                  <pic:spPr bwMode="auto">
                    <a:xfrm>
                      <a:off x="0" y="0"/>
                      <a:ext cx="6308376" cy="2824520"/>
                    </a:xfrm>
                    <a:prstGeom prst="rect">
                      <a:avLst/>
                    </a:prstGeom>
                    <a:ln>
                      <a:noFill/>
                    </a:ln>
                    <a:extLst>
                      <a:ext uri="{53640926-AAD7-44D8-BBD7-CCE9431645EC}">
                        <a14:shadowObscured xmlns:a14="http://schemas.microsoft.com/office/drawing/2010/main"/>
                      </a:ext>
                    </a:extLst>
                  </pic:spPr>
                </pic:pic>
              </a:graphicData>
            </a:graphic>
          </wp:inline>
        </w:drawing>
      </w:r>
    </w:p>
    <w:sectPr w:rsidR="00BF6185" w:rsidSect="009F3B5C">
      <w:headerReference w:type="default" r:id="rId8"/>
      <w:pgSz w:w="11910" w:h="16840"/>
      <w:pgMar w:top="2620" w:right="960" w:bottom="45" w:left="1020" w:header="1174" w:footer="1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97F4" w14:textId="77777777" w:rsidR="00B30CE2" w:rsidRDefault="00B30CE2">
      <w:r>
        <w:separator/>
      </w:r>
    </w:p>
  </w:endnote>
  <w:endnote w:type="continuationSeparator" w:id="0">
    <w:p w14:paraId="1DA87AB0" w14:textId="77777777" w:rsidR="00B30CE2" w:rsidRDefault="00B3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1CDC" w14:textId="77777777" w:rsidR="00B30CE2" w:rsidRDefault="00B30CE2">
      <w:r>
        <w:separator/>
      </w:r>
    </w:p>
  </w:footnote>
  <w:footnote w:type="continuationSeparator" w:id="0">
    <w:p w14:paraId="113E022B" w14:textId="77777777" w:rsidR="00B30CE2" w:rsidRDefault="00B30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7519" w14:textId="34B4A5EF" w:rsidR="00BB1F81" w:rsidRDefault="00153306">
    <w:pPr>
      <w:pStyle w:val="Corpodetexto"/>
      <w:spacing w:line="14" w:lineRule="auto"/>
      <w:rPr>
        <w:sz w:val="20"/>
      </w:rPr>
    </w:pPr>
    <w:r>
      <w:rPr>
        <w:noProof/>
      </w:rPr>
      <w:drawing>
        <wp:anchor distT="0" distB="0" distL="0" distR="0" simplePos="0" relativeHeight="251660288" behindDoc="1" locked="0" layoutInCell="1" allowOverlap="1" wp14:anchorId="63CBE643" wp14:editId="204D7BC6">
          <wp:simplePos x="0" y="0"/>
          <wp:positionH relativeFrom="page">
            <wp:posOffset>764540</wp:posOffset>
          </wp:positionH>
          <wp:positionV relativeFrom="page">
            <wp:posOffset>745489</wp:posOffset>
          </wp:positionV>
          <wp:extent cx="762000" cy="828675"/>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62000" cy="828675"/>
                  </a:xfrm>
                  <a:prstGeom prst="rect">
                    <a:avLst/>
                  </a:prstGeom>
                </pic:spPr>
              </pic:pic>
            </a:graphicData>
          </a:graphic>
        </wp:anchor>
      </w:drawing>
    </w:r>
    <w:r w:rsidR="00932BA7">
      <w:rPr>
        <w:noProof/>
      </w:rPr>
      <mc:AlternateContent>
        <mc:Choice Requires="wps">
          <w:drawing>
            <wp:anchor distT="0" distB="0" distL="114300" distR="114300" simplePos="0" relativeHeight="251430912" behindDoc="1" locked="0" layoutInCell="1" allowOverlap="1" wp14:anchorId="57920FD4" wp14:editId="69030A72">
              <wp:simplePos x="0" y="0"/>
              <wp:positionH relativeFrom="page">
                <wp:posOffset>1619885</wp:posOffset>
              </wp:positionH>
              <wp:positionV relativeFrom="page">
                <wp:posOffset>737870</wp:posOffset>
              </wp:positionV>
              <wp:extent cx="5189855" cy="9505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855" cy="95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AB77C" w14:textId="77777777" w:rsidR="00BB1F81" w:rsidRDefault="00153306">
                          <w:pPr>
                            <w:spacing w:before="12"/>
                            <w:ind w:left="20"/>
                            <w:jc w:val="both"/>
                            <w:rPr>
                              <w:b/>
                              <w:sz w:val="24"/>
                            </w:rPr>
                          </w:pPr>
                          <w:r>
                            <w:rPr>
                              <w:b/>
                              <w:sz w:val="24"/>
                            </w:rPr>
                            <w:t>PODER JUDICIÁRIO</w:t>
                          </w:r>
                        </w:p>
                        <w:p w14:paraId="214DE59E" w14:textId="77777777" w:rsidR="00BB1F81" w:rsidRDefault="00153306">
                          <w:pPr>
                            <w:ind w:left="20"/>
                            <w:jc w:val="both"/>
                            <w:rPr>
                              <w:b/>
                              <w:sz w:val="24"/>
                            </w:rPr>
                          </w:pPr>
                          <w:r>
                            <w:rPr>
                              <w:b/>
                              <w:sz w:val="24"/>
                            </w:rPr>
                            <w:t>TRIBUNAL DE JUSTIÇA DO ESTADO DA BAHIA</w:t>
                          </w:r>
                        </w:p>
                        <w:p w14:paraId="446EA282" w14:textId="77777777" w:rsidR="00BB1F81" w:rsidRDefault="00153306">
                          <w:pPr>
                            <w:spacing w:line="276" w:lineRule="auto"/>
                            <w:ind w:left="20" w:right="18"/>
                            <w:jc w:val="both"/>
                            <w:rPr>
                              <w:b/>
                              <w:sz w:val="24"/>
                            </w:rPr>
                          </w:pPr>
                          <w:r>
                            <w:rPr>
                              <w:b/>
                              <w:sz w:val="24"/>
                            </w:rPr>
                            <w:t>COMISSÃO PARA A PROMOÇÃO DE IGUALDADE E POLÍTICAS AFIRMATIVAS EM QUESTÕES DE GÊNERO E ORIENTAÇÃO SEXUAL - COGEN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20FD4" id="_x0000_t202" coordsize="21600,21600" o:spt="202" path="m,l,21600r21600,l21600,xe">
              <v:stroke joinstyle="miter"/>
              <v:path gradientshapeok="t" o:connecttype="rect"/>
            </v:shapetype>
            <v:shape id="Text Box 3" o:spid="_x0000_s1026" type="#_x0000_t202" style="position:absolute;margin-left:127.55pt;margin-top:58.1pt;width:408.65pt;height:74.85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" filled="f" stroked="f">
              <v:textbox inset="0,0,0,0">
                <w:txbxContent>
                  <w:p w14:paraId="25AAB77C" w14:textId="77777777" w:rsidR="00BB1F81" w:rsidRDefault="00153306">
                    <w:pPr>
                      <w:spacing w:before="12"/>
                      <w:ind w:left="20"/>
                      <w:jc w:val="both"/>
                      <w:rPr>
                        <w:b/>
                        <w:sz w:val="24"/>
                      </w:rPr>
                    </w:pPr>
                    <w:r>
                      <w:rPr>
                        <w:b/>
                        <w:sz w:val="24"/>
                      </w:rPr>
                      <w:t>PODER JUDICIÁRIO</w:t>
                    </w:r>
                  </w:p>
                  <w:p w14:paraId="214DE59E" w14:textId="77777777" w:rsidR="00BB1F81" w:rsidRDefault="00153306">
                    <w:pPr>
                      <w:ind w:left="20"/>
                      <w:jc w:val="both"/>
                      <w:rPr>
                        <w:b/>
                        <w:sz w:val="24"/>
                      </w:rPr>
                    </w:pPr>
                    <w:r>
                      <w:rPr>
                        <w:b/>
                        <w:sz w:val="24"/>
                      </w:rPr>
                      <w:t>TRIBUNAL DE JUSTIÇA DO ESTADO DA BAHIA</w:t>
                    </w:r>
                  </w:p>
                  <w:p w14:paraId="446EA282" w14:textId="77777777" w:rsidR="00BB1F81" w:rsidRDefault="00153306">
                    <w:pPr>
                      <w:spacing w:line="276" w:lineRule="auto"/>
                      <w:ind w:left="20" w:right="18"/>
                      <w:jc w:val="both"/>
                      <w:rPr>
                        <w:b/>
                        <w:sz w:val="24"/>
                      </w:rPr>
                    </w:pPr>
                    <w:r>
                      <w:rPr>
                        <w:b/>
                        <w:sz w:val="24"/>
                      </w:rPr>
                      <w:t>COMISSÃO PARA A PROMOÇÃO DE IGUALDADE E POLÍTICAS AFIRMATIVAS EM QUESTÕES DE GÊNERO E ORIENTAÇÃO SEXUAL - COGEN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D095F"/>
    <w:multiLevelType w:val="hybridMultilevel"/>
    <w:tmpl w:val="E846552C"/>
    <w:lvl w:ilvl="0" w:tplc="46348A8E">
      <w:start w:val="1"/>
      <w:numFmt w:val="decimal"/>
      <w:lvlText w:val="(%1)"/>
      <w:lvlJc w:val="left"/>
      <w:pPr>
        <w:ind w:left="380" w:hanging="36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1" w15:restartNumberingAfterBreak="0">
    <w:nsid w:val="16200671"/>
    <w:multiLevelType w:val="hybridMultilevel"/>
    <w:tmpl w:val="8A2C35F4"/>
    <w:lvl w:ilvl="0" w:tplc="5ECC38C6">
      <w:start w:val="1"/>
      <w:numFmt w:val="decimal"/>
      <w:lvlText w:val="(%1)"/>
      <w:lvlJc w:val="left"/>
      <w:pPr>
        <w:ind w:left="756" w:hanging="396"/>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F92074"/>
    <w:multiLevelType w:val="hybridMultilevel"/>
    <w:tmpl w:val="0AA4B9B8"/>
    <w:lvl w:ilvl="0" w:tplc="4B1E33E4">
      <w:start w:val="1"/>
      <w:numFmt w:val="decimal"/>
      <w:lvlText w:val="%1."/>
      <w:lvlJc w:val="left"/>
      <w:pPr>
        <w:ind w:left="740" w:hanging="360"/>
      </w:pPr>
      <w:rPr>
        <w:rFonts w:hint="default"/>
      </w:rPr>
    </w:lvl>
    <w:lvl w:ilvl="1" w:tplc="04160019" w:tentative="1">
      <w:start w:val="1"/>
      <w:numFmt w:val="lowerLetter"/>
      <w:lvlText w:val="%2."/>
      <w:lvlJc w:val="left"/>
      <w:pPr>
        <w:ind w:left="1460" w:hanging="360"/>
      </w:pPr>
    </w:lvl>
    <w:lvl w:ilvl="2" w:tplc="0416001B" w:tentative="1">
      <w:start w:val="1"/>
      <w:numFmt w:val="lowerRoman"/>
      <w:lvlText w:val="%3."/>
      <w:lvlJc w:val="right"/>
      <w:pPr>
        <w:ind w:left="2180" w:hanging="180"/>
      </w:pPr>
    </w:lvl>
    <w:lvl w:ilvl="3" w:tplc="0416000F" w:tentative="1">
      <w:start w:val="1"/>
      <w:numFmt w:val="decimal"/>
      <w:lvlText w:val="%4."/>
      <w:lvlJc w:val="left"/>
      <w:pPr>
        <w:ind w:left="2900" w:hanging="360"/>
      </w:pPr>
    </w:lvl>
    <w:lvl w:ilvl="4" w:tplc="04160019" w:tentative="1">
      <w:start w:val="1"/>
      <w:numFmt w:val="lowerLetter"/>
      <w:lvlText w:val="%5."/>
      <w:lvlJc w:val="left"/>
      <w:pPr>
        <w:ind w:left="3620" w:hanging="360"/>
      </w:pPr>
    </w:lvl>
    <w:lvl w:ilvl="5" w:tplc="0416001B" w:tentative="1">
      <w:start w:val="1"/>
      <w:numFmt w:val="lowerRoman"/>
      <w:lvlText w:val="%6."/>
      <w:lvlJc w:val="right"/>
      <w:pPr>
        <w:ind w:left="4340" w:hanging="180"/>
      </w:pPr>
    </w:lvl>
    <w:lvl w:ilvl="6" w:tplc="0416000F" w:tentative="1">
      <w:start w:val="1"/>
      <w:numFmt w:val="decimal"/>
      <w:lvlText w:val="%7."/>
      <w:lvlJc w:val="left"/>
      <w:pPr>
        <w:ind w:left="5060" w:hanging="360"/>
      </w:pPr>
    </w:lvl>
    <w:lvl w:ilvl="7" w:tplc="04160019" w:tentative="1">
      <w:start w:val="1"/>
      <w:numFmt w:val="lowerLetter"/>
      <w:lvlText w:val="%8."/>
      <w:lvlJc w:val="left"/>
      <w:pPr>
        <w:ind w:left="5780" w:hanging="360"/>
      </w:pPr>
    </w:lvl>
    <w:lvl w:ilvl="8" w:tplc="0416001B" w:tentative="1">
      <w:start w:val="1"/>
      <w:numFmt w:val="lowerRoman"/>
      <w:lvlText w:val="%9."/>
      <w:lvlJc w:val="right"/>
      <w:pPr>
        <w:ind w:left="6500" w:hanging="180"/>
      </w:pPr>
    </w:lvl>
  </w:abstractNum>
  <w:abstractNum w:abstractNumId="3" w15:restartNumberingAfterBreak="0">
    <w:nsid w:val="52037789"/>
    <w:multiLevelType w:val="hybridMultilevel"/>
    <w:tmpl w:val="25B8459E"/>
    <w:lvl w:ilvl="0" w:tplc="4D8E9AEE">
      <w:start w:val="1"/>
      <w:numFmt w:val="decimal"/>
      <w:lvlText w:val="%1."/>
      <w:lvlJc w:val="left"/>
      <w:pPr>
        <w:ind w:left="382" w:hanging="270"/>
      </w:pPr>
      <w:rPr>
        <w:rFonts w:ascii="Arial" w:eastAsia="Arial" w:hAnsi="Arial" w:cs="Arial" w:hint="default"/>
        <w:b/>
        <w:bCs/>
        <w:color w:val="000009"/>
        <w:w w:val="100"/>
        <w:sz w:val="24"/>
        <w:szCs w:val="24"/>
        <w:lang w:val="pt-BR" w:eastAsia="pt-BR" w:bidi="pt-BR"/>
      </w:rPr>
    </w:lvl>
    <w:lvl w:ilvl="1" w:tplc="3670D450">
      <w:numFmt w:val="bullet"/>
      <w:lvlText w:val=""/>
      <w:lvlJc w:val="left"/>
      <w:pPr>
        <w:ind w:left="833" w:hanging="358"/>
      </w:pPr>
      <w:rPr>
        <w:rFonts w:hint="default"/>
        <w:w w:val="100"/>
        <w:lang w:val="pt-BR" w:eastAsia="pt-BR" w:bidi="pt-BR"/>
      </w:rPr>
    </w:lvl>
    <w:lvl w:ilvl="2" w:tplc="8CAC286A">
      <w:numFmt w:val="bullet"/>
      <w:lvlText w:val=""/>
      <w:lvlJc w:val="left"/>
      <w:pPr>
        <w:ind w:left="1553" w:hanging="358"/>
      </w:pPr>
      <w:rPr>
        <w:rFonts w:ascii="Wingdings" w:eastAsia="Wingdings" w:hAnsi="Wingdings" w:cs="Wingdings" w:hint="default"/>
        <w:color w:val="000009"/>
        <w:w w:val="100"/>
        <w:sz w:val="24"/>
        <w:szCs w:val="24"/>
        <w:lang w:val="pt-BR" w:eastAsia="pt-BR" w:bidi="pt-BR"/>
      </w:rPr>
    </w:lvl>
    <w:lvl w:ilvl="3" w:tplc="C114BEB4">
      <w:numFmt w:val="bullet"/>
      <w:lvlText w:val="•"/>
      <w:lvlJc w:val="left"/>
      <w:pPr>
        <w:ind w:left="2605" w:hanging="358"/>
      </w:pPr>
      <w:rPr>
        <w:rFonts w:hint="default"/>
        <w:lang w:val="pt-BR" w:eastAsia="pt-BR" w:bidi="pt-BR"/>
      </w:rPr>
    </w:lvl>
    <w:lvl w:ilvl="4" w:tplc="9A4E490C">
      <w:numFmt w:val="bullet"/>
      <w:lvlText w:val="•"/>
      <w:lvlJc w:val="left"/>
      <w:pPr>
        <w:ind w:left="3651" w:hanging="358"/>
      </w:pPr>
      <w:rPr>
        <w:rFonts w:hint="default"/>
        <w:lang w:val="pt-BR" w:eastAsia="pt-BR" w:bidi="pt-BR"/>
      </w:rPr>
    </w:lvl>
    <w:lvl w:ilvl="5" w:tplc="D12E8AD6">
      <w:numFmt w:val="bullet"/>
      <w:lvlText w:val="•"/>
      <w:lvlJc w:val="left"/>
      <w:pPr>
        <w:ind w:left="4697" w:hanging="358"/>
      </w:pPr>
      <w:rPr>
        <w:rFonts w:hint="default"/>
        <w:lang w:val="pt-BR" w:eastAsia="pt-BR" w:bidi="pt-BR"/>
      </w:rPr>
    </w:lvl>
    <w:lvl w:ilvl="6" w:tplc="BA48E964">
      <w:numFmt w:val="bullet"/>
      <w:lvlText w:val="•"/>
      <w:lvlJc w:val="left"/>
      <w:pPr>
        <w:ind w:left="5743" w:hanging="358"/>
      </w:pPr>
      <w:rPr>
        <w:rFonts w:hint="default"/>
        <w:lang w:val="pt-BR" w:eastAsia="pt-BR" w:bidi="pt-BR"/>
      </w:rPr>
    </w:lvl>
    <w:lvl w:ilvl="7" w:tplc="4520556C">
      <w:numFmt w:val="bullet"/>
      <w:lvlText w:val="•"/>
      <w:lvlJc w:val="left"/>
      <w:pPr>
        <w:ind w:left="6789" w:hanging="358"/>
      </w:pPr>
      <w:rPr>
        <w:rFonts w:hint="default"/>
        <w:lang w:val="pt-BR" w:eastAsia="pt-BR" w:bidi="pt-BR"/>
      </w:rPr>
    </w:lvl>
    <w:lvl w:ilvl="8" w:tplc="82BA9730">
      <w:numFmt w:val="bullet"/>
      <w:lvlText w:val="•"/>
      <w:lvlJc w:val="left"/>
      <w:pPr>
        <w:ind w:left="7834" w:hanging="358"/>
      </w:pPr>
      <w:rPr>
        <w:rFonts w:hint="default"/>
        <w:lang w:val="pt-BR" w:eastAsia="pt-BR" w:bidi="pt-BR"/>
      </w:rPr>
    </w:lvl>
  </w:abstractNum>
  <w:abstractNum w:abstractNumId="4" w15:restartNumberingAfterBreak="0">
    <w:nsid w:val="65070C21"/>
    <w:multiLevelType w:val="hybridMultilevel"/>
    <w:tmpl w:val="332A59D2"/>
    <w:lvl w:ilvl="0" w:tplc="E39EADAC">
      <w:start w:val="1"/>
      <w:numFmt w:val="decimal"/>
      <w:lvlText w:val="%1."/>
      <w:lvlJc w:val="left"/>
      <w:pPr>
        <w:ind w:left="740" w:hanging="360"/>
      </w:pPr>
      <w:rPr>
        <w:rFonts w:hint="default"/>
      </w:rPr>
    </w:lvl>
    <w:lvl w:ilvl="1" w:tplc="04160019" w:tentative="1">
      <w:start w:val="1"/>
      <w:numFmt w:val="lowerLetter"/>
      <w:lvlText w:val="%2."/>
      <w:lvlJc w:val="left"/>
      <w:pPr>
        <w:ind w:left="1460" w:hanging="360"/>
      </w:pPr>
    </w:lvl>
    <w:lvl w:ilvl="2" w:tplc="0416001B" w:tentative="1">
      <w:start w:val="1"/>
      <w:numFmt w:val="lowerRoman"/>
      <w:lvlText w:val="%3."/>
      <w:lvlJc w:val="right"/>
      <w:pPr>
        <w:ind w:left="2180" w:hanging="180"/>
      </w:pPr>
    </w:lvl>
    <w:lvl w:ilvl="3" w:tplc="0416000F" w:tentative="1">
      <w:start w:val="1"/>
      <w:numFmt w:val="decimal"/>
      <w:lvlText w:val="%4."/>
      <w:lvlJc w:val="left"/>
      <w:pPr>
        <w:ind w:left="2900" w:hanging="360"/>
      </w:pPr>
    </w:lvl>
    <w:lvl w:ilvl="4" w:tplc="04160019" w:tentative="1">
      <w:start w:val="1"/>
      <w:numFmt w:val="lowerLetter"/>
      <w:lvlText w:val="%5."/>
      <w:lvlJc w:val="left"/>
      <w:pPr>
        <w:ind w:left="3620" w:hanging="360"/>
      </w:pPr>
    </w:lvl>
    <w:lvl w:ilvl="5" w:tplc="0416001B" w:tentative="1">
      <w:start w:val="1"/>
      <w:numFmt w:val="lowerRoman"/>
      <w:lvlText w:val="%6."/>
      <w:lvlJc w:val="right"/>
      <w:pPr>
        <w:ind w:left="4340" w:hanging="180"/>
      </w:pPr>
    </w:lvl>
    <w:lvl w:ilvl="6" w:tplc="0416000F" w:tentative="1">
      <w:start w:val="1"/>
      <w:numFmt w:val="decimal"/>
      <w:lvlText w:val="%7."/>
      <w:lvlJc w:val="left"/>
      <w:pPr>
        <w:ind w:left="5060" w:hanging="360"/>
      </w:pPr>
    </w:lvl>
    <w:lvl w:ilvl="7" w:tplc="04160019" w:tentative="1">
      <w:start w:val="1"/>
      <w:numFmt w:val="lowerLetter"/>
      <w:lvlText w:val="%8."/>
      <w:lvlJc w:val="left"/>
      <w:pPr>
        <w:ind w:left="5780" w:hanging="360"/>
      </w:pPr>
    </w:lvl>
    <w:lvl w:ilvl="8" w:tplc="0416001B" w:tentative="1">
      <w:start w:val="1"/>
      <w:numFmt w:val="lowerRoman"/>
      <w:lvlText w:val="%9."/>
      <w:lvlJc w:val="right"/>
      <w:pPr>
        <w:ind w:left="6500" w:hanging="180"/>
      </w:pPr>
    </w:lvl>
  </w:abstractNum>
  <w:num w:numId="1" w16cid:durableId="1211697272">
    <w:abstractNumId w:val="3"/>
  </w:num>
  <w:num w:numId="2" w16cid:durableId="891622275">
    <w:abstractNumId w:val="1"/>
  </w:num>
  <w:num w:numId="3" w16cid:durableId="1725105204">
    <w:abstractNumId w:val="0"/>
  </w:num>
  <w:num w:numId="4" w16cid:durableId="440804917">
    <w:abstractNumId w:val="2"/>
  </w:num>
  <w:num w:numId="5" w16cid:durableId="807287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81"/>
    <w:rsid w:val="0000036D"/>
    <w:rsid w:val="00003660"/>
    <w:rsid w:val="00003D56"/>
    <w:rsid w:val="00023FA7"/>
    <w:rsid w:val="00026BEE"/>
    <w:rsid w:val="000277D0"/>
    <w:rsid w:val="00027D3A"/>
    <w:rsid w:val="00034806"/>
    <w:rsid w:val="00035B3F"/>
    <w:rsid w:val="00042C27"/>
    <w:rsid w:val="00044088"/>
    <w:rsid w:val="0004412A"/>
    <w:rsid w:val="00046494"/>
    <w:rsid w:val="00047649"/>
    <w:rsid w:val="000479E5"/>
    <w:rsid w:val="00047AB7"/>
    <w:rsid w:val="00047C98"/>
    <w:rsid w:val="00050BF1"/>
    <w:rsid w:val="00054459"/>
    <w:rsid w:val="00055ABA"/>
    <w:rsid w:val="0005681A"/>
    <w:rsid w:val="000617B4"/>
    <w:rsid w:val="00067D40"/>
    <w:rsid w:val="00071A6A"/>
    <w:rsid w:val="00076338"/>
    <w:rsid w:val="00076FBA"/>
    <w:rsid w:val="00077093"/>
    <w:rsid w:val="00083A67"/>
    <w:rsid w:val="00083FB1"/>
    <w:rsid w:val="0008431E"/>
    <w:rsid w:val="0008538B"/>
    <w:rsid w:val="00090AC5"/>
    <w:rsid w:val="000A3715"/>
    <w:rsid w:val="000A3D74"/>
    <w:rsid w:val="000A57D7"/>
    <w:rsid w:val="000B004E"/>
    <w:rsid w:val="000B36C0"/>
    <w:rsid w:val="000B3F60"/>
    <w:rsid w:val="000B4AC3"/>
    <w:rsid w:val="000D02A0"/>
    <w:rsid w:val="000D1985"/>
    <w:rsid w:val="000D1FC0"/>
    <w:rsid w:val="000D2AF0"/>
    <w:rsid w:val="000D34FB"/>
    <w:rsid w:val="000E0485"/>
    <w:rsid w:val="000E08F8"/>
    <w:rsid w:val="000E17F2"/>
    <w:rsid w:val="000E4832"/>
    <w:rsid w:val="000E761C"/>
    <w:rsid w:val="000F0D70"/>
    <w:rsid w:val="00104019"/>
    <w:rsid w:val="001047E8"/>
    <w:rsid w:val="0010760E"/>
    <w:rsid w:val="001101DA"/>
    <w:rsid w:val="00113708"/>
    <w:rsid w:val="00114189"/>
    <w:rsid w:val="001165C2"/>
    <w:rsid w:val="00121660"/>
    <w:rsid w:val="00121E40"/>
    <w:rsid w:val="00130DE8"/>
    <w:rsid w:val="00142514"/>
    <w:rsid w:val="00142F67"/>
    <w:rsid w:val="001446DA"/>
    <w:rsid w:val="00147FF5"/>
    <w:rsid w:val="0015058D"/>
    <w:rsid w:val="0015291D"/>
    <w:rsid w:val="00153306"/>
    <w:rsid w:val="00154065"/>
    <w:rsid w:val="00155347"/>
    <w:rsid w:val="00160997"/>
    <w:rsid w:val="001642C8"/>
    <w:rsid w:val="00164BAD"/>
    <w:rsid w:val="001650BA"/>
    <w:rsid w:val="001710A1"/>
    <w:rsid w:val="00171A0A"/>
    <w:rsid w:val="00174432"/>
    <w:rsid w:val="00180F35"/>
    <w:rsid w:val="001829B3"/>
    <w:rsid w:val="00183723"/>
    <w:rsid w:val="0018705F"/>
    <w:rsid w:val="00187BA2"/>
    <w:rsid w:val="0019050C"/>
    <w:rsid w:val="00192AD7"/>
    <w:rsid w:val="001A3EDF"/>
    <w:rsid w:val="001A7056"/>
    <w:rsid w:val="001B3C2D"/>
    <w:rsid w:val="001B6795"/>
    <w:rsid w:val="001B696F"/>
    <w:rsid w:val="001B6972"/>
    <w:rsid w:val="001C0555"/>
    <w:rsid w:val="001C5332"/>
    <w:rsid w:val="001D4AD7"/>
    <w:rsid w:val="001D5661"/>
    <w:rsid w:val="001D7C55"/>
    <w:rsid w:val="001D7DAA"/>
    <w:rsid w:val="001D7E8D"/>
    <w:rsid w:val="001E39BB"/>
    <w:rsid w:val="001E717F"/>
    <w:rsid w:val="001E73E7"/>
    <w:rsid w:val="001F4EEC"/>
    <w:rsid w:val="001F55D0"/>
    <w:rsid w:val="002015C4"/>
    <w:rsid w:val="00203168"/>
    <w:rsid w:val="002038E5"/>
    <w:rsid w:val="002045AA"/>
    <w:rsid w:val="00205EFC"/>
    <w:rsid w:val="00215ECE"/>
    <w:rsid w:val="002163EA"/>
    <w:rsid w:val="00216C93"/>
    <w:rsid w:val="00220EEC"/>
    <w:rsid w:val="002244CA"/>
    <w:rsid w:val="0022559D"/>
    <w:rsid w:val="00226404"/>
    <w:rsid w:val="00227ABA"/>
    <w:rsid w:val="00227D44"/>
    <w:rsid w:val="00232C54"/>
    <w:rsid w:val="00240F13"/>
    <w:rsid w:val="002443B0"/>
    <w:rsid w:val="00253599"/>
    <w:rsid w:val="00255A97"/>
    <w:rsid w:val="002565C7"/>
    <w:rsid w:val="00256B70"/>
    <w:rsid w:val="002603AE"/>
    <w:rsid w:val="002609CF"/>
    <w:rsid w:val="00260F62"/>
    <w:rsid w:val="00261F80"/>
    <w:rsid w:val="00264253"/>
    <w:rsid w:val="00264992"/>
    <w:rsid w:val="00270BF3"/>
    <w:rsid w:val="002723AD"/>
    <w:rsid w:val="00275E78"/>
    <w:rsid w:val="00280B12"/>
    <w:rsid w:val="002830F2"/>
    <w:rsid w:val="002854CE"/>
    <w:rsid w:val="00285D3A"/>
    <w:rsid w:val="00286DB7"/>
    <w:rsid w:val="00292C29"/>
    <w:rsid w:val="00293878"/>
    <w:rsid w:val="002956BF"/>
    <w:rsid w:val="00295BF8"/>
    <w:rsid w:val="00296CEA"/>
    <w:rsid w:val="002A0C51"/>
    <w:rsid w:val="002A23CE"/>
    <w:rsid w:val="002B31FF"/>
    <w:rsid w:val="002B698A"/>
    <w:rsid w:val="002C285B"/>
    <w:rsid w:val="002C54A3"/>
    <w:rsid w:val="002D07AD"/>
    <w:rsid w:val="002D2A2D"/>
    <w:rsid w:val="002D3939"/>
    <w:rsid w:val="002D5A3A"/>
    <w:rsid w:val="002E042F"/>
    <w:rsid w:val="002E1472"/>
    <w:rsid w:val="002E1C89"/>
    <w:rsid w:val="002E39AC"/>
    <w:rsid w:val="002E54F0"/>
    <w:rsid w:val="002E6ADF"/>
    <w:rsid w:val="002F0AEA"/>
    <w:rsid w:val="002F2EAC"/>
    <w:rsid w:val="002F5D34"/>
    <w:rsid w:val="002F66F9"/>
    <w:rsid w:val="0030335E"/>
    <w:rsid w:val="00310BF3"/>
    <w:rsid w:val="00312407"/>
    <w:rsid w:val="00317047"/>
    <w:rsid w:val="0032256E"/>
    <w:rsid w:val="00322DC7"/>
    <w:rsid w:val="003249A5"/>
    <w:rsid w:val="00325EC2"/>
    <w:rsid w:val="0033329C"/>
    <w:rsid w:val="003361D1"/>
    <w:rsid w:val="0033789F"/>
    <w:rsid w:val="00346A32"/>
    <w:rsid w:val="003518F7"/>
    <w:rsid w:val="00365116"/>
    <w:rsid w:val="00370E10"/>
    <w:rsid w:val="00371BA6"/>
    <w:rsid w:val="003722C5"/>
    <w:rsid w:val="00375D3C"/>
    <w:rsid w:val="00375DC0"/>
    <w:rsid w:val="003779B7"/>
    <w:rsid w:val="0038118C"/>
    <w:rsid w:val="00381A33"/>
    <w:rsid w:val="00382E8B"/>
    <w:rsid w:val="003872D9"/>
    <w:rsid w:val="00387A48"/>
    <w:rsid w:val="00391B73"/>
    <w:rsid w:val="0039404D"/>
    <w:rsid w:val="003949A0"/>
    <w:rsid w:val="003A3314"/>
    <w:rsid w:val="003A4004"/>
    <w:rsid w:val="003A4900"/>
    <w:rsid w:val="003A5D75"/>
    <w:rsid w:val="003A6C6D"/>
    <w:rsid w:val="003A72E0"/>
    <w:rsid w:val="003C2963"/>
    <w:rsid w:val="003C7B08"/>
    <w:rsid w:val="003D1BC0"/>
    <w:rsid w:val="003D6A52"/>
    <w:rsid w:val="003E3EFE"/>
    <w:rsid w:val="003E449F"/>
    <w:rsid w:val="003E6E77"/>
    <w:rsid w:val="003F10C6"/>
    <w:rsid w:val="003F19AA"/>
    <w:rsid w:val="003F2CA2"/>
    <w:rsid w:val="003F33EC"/>
    <w:rsid w:val="003F4F3E"/>
    <w:rsid w:val="003F5FA4"/>
    <w:rsid w:val="003F7507"/>
    <w:rsid w:val="00405D1D"/>
    <w:rsid w:val="00410118"/>
    <w:rsid w:val="00412E35"/>
    <w:rsid w:val="004144BD"/>
    <w:rsid w:val="00415238"/>
    <w:rsid w:val="00415E97"/>
    <w:rsid w:val="00416CFE"/>
    <w:rsid w:val="004217A9"/>
    <w:rsid w:val="00421BB2"/>
    <w:rsid w:val="00424929"/>
    <w:rsid w:val="00426788"/>
    <w:rsid w:val="00432952"/>
    <w:rsid w:val="004344C3"/>
    <w:rsid w:val="0044088F"/>
    <w:rsid w:val="00444E7F"/>
    <w:rsid w:val="004458C2"/>
    <w:rsid w:val="00447748"/>
    <w:rsid w:val="00447E0C"/>
    <w:rsid w:val="00454C4F"/>
    <w:rsid w:val="0046664C"/>
    <w:rsid w:val="004846F1"/>
    <w:rsid w:val="00485391"/>
    <w:rsid w:val="00493879"/>
    <w:rsid w:val="0049479F"/>
    <w:rsid w:val="004973F3"/>
    <w:rsid w:val="004A35B4"/>
    <w:rsid w:val="004A789A"/>
    <w:rsid w:val="004B2043"/>
    <w:rsid w:val="004B3B3A"/>
    <w:rsid w:val="004B5DAF"/>
    <w:rsid w:val="004C3FD7"/>
    <w:rsid w:val="004C7F8C"/>
    <w:rsid w:val="004D4B74"/>
    <w:rsid w:val="004D5980"/>
    <w:rsid w:val="004E0DC3"/>
    <w:rsid w:val="004E2C84"/>
    <w:rsid w:val="004E2DCD"/>
    <w:rsid w:val="004E64B0"/>
    <w:rsid w:val="004E722D"/>
    <w:rsid w:val="004F199A"/>
    <w:rsid w:val="004F3024"/>
    <w:rsid w:val="004F6BEF"/>
    <w:rsid w:val="004F762F"/>
    <w:rsid w:val="005014D1"/>
    <w:rsid w:val="005026CD"/>
    <w:rsid w:val="00502D3A"/>
    <w:rsid w:val="005033EC"/>
    <w:rsid w:val="005036DB"/>
    <w:rsid w:val="00504037"/>
    <w:rsid w:val="00505373"/>
    <w:rsid w:val="00506144"/>
    <w:rsid w:val="005077F8"/>
    <w:rsid w:val="005078AC"/>
    <w:rsid w:val="00507AE5"/>
    <w:rsid w:val="00511425"/>
    <w:rsid w:val="00513AF6"/>
    <w:rsid w:val="00513C27"/>
    <w:rsid w:val="00516E98"/>
    <w:rsid w:val="00522561"/>
    <w:rsid w:val="005232D6"/>
    <w:rsid w:val="00523675"/>
    <w:rsid w:val="00526FFE"/>
    <w:rsid w:val="00530DCE"/>
    <w:rsid w:val="0053477B"/>
    <w:rsid w:val="00540965"/>
    <w:rsid w:val="00540E8B"/>
    <w:rsid w:val="005458B7"/>
    <w:rsid w:val="005500B4"/>
    <w:rsid w:val="00552E70"/>
    <w:rsid w:val="00553653"/>
    <w:rsid w:val="00554149"/>
    <w:rsid w:val="005555B0"/>
    <w:rsid w:val="005563DC"/>
    <w:rsid w:val="00556999"/>
    <w:rsid w:val="0056055F"/>
    <w:rsid w:val="005630FB"/>
    <w:rsid w:val="00567DC7"/>
    <w:rsid w:val="00572DE7"/>
    <w:rsid w:val="005734C7"/>
    <w:rsid w:val="00573C5C"/>
    <w:rsid w:val="00577045"/>
    <w:rsid w:val="005824FA"/>
    <w:rsid w:val="00591491"/>
    <w:rsid w:val="005921CA"/>
    <w:rsid w:val="00592E8C"/>
    <w:rsid w:val="00594295"/>
    <w:rsid w:val="00594D26"/>
    <w:rsid w:val="005A2613"/>
    <w:rsid w:val="005A2696"/>
    <w:rsid w:val="005A4101"/>
    <w:rsid w:val="005A7FD7"/>
    <w:rsid w:val="005B10A3"/>
    <w:rsid w:val="005C27BF"/>
    <w:rsid w:val="005C345D"/>
    <w:rsid w:val="005C4D8D"/>
    <w:rsid w:val="005C5E14"/>
    <w:rsid w:val="005D102A"/>
    <w:rsid w:val="005D3363"/>
    <w:rsid w:val="005D68E7"/>
    <w:rsid w:val="005D7794"/>
    <w:rsid w:val="005E6EA6"/>
    <w:rsid w:val="005F32A6"/>
    <w:rsid w:val="005F33C0"/>
    <w:rsid w:val="005F44EB"/>
    <w:rsid w:val="005F5E10"/>
    <w:rsid w:val="005F6562"/>
    <w:rsid w:val="00604173"/>
    <w:rsid w:val="00604888"/>
    <w:rsid w:val="00605323"/>
    <w:rsid w:val="00605D90"/>
    <w:rsid w:val="0061040C"/>
    <w:rsid w:val="00615D28"/>
    <w:rsid w:val="0061611A"/>
    <w:rsid w:val="00617B91"/>
    <w:rsid w:val="00617C5F"/>
    <w:rsid w:val="00626941"/>
    <w:rsid w:val="006377D9"/>
    <w:rsid w:val="00637A50"/>
    <w:rsid w:val="0064098E"/>
    <w:rsid w:val="00640AC8"/>
    <w:rsid w:val="006448DA"/>
    <w:rsid w:val="00645549"/>
    <w:rsid w:val="006507CF"/>
    <w:rsid w:val="00651040"/>
    <w:rsid w:val="006513E4"/>
    <w:rsid w:val="00652492"/>
    <w:rsid w:val="00652FCF"/>
    <w:rsid w:val="00653122"/>
    <w:rsid w:val="00653622"/>
    <w:rsid w:val="0065378E"/>
    <w:rsid w:val="00653992"/>
    <w:rsid w:val="00656D23"/>
    <w:rsid w:val="006570A4"/>
    <w:rsid w:val="0066049B"/>
    <w:rsid w:val="006617DC"/>
    <w:rsid w:val="00662870"/>
    <w:rsid w:val="00672897"/>
    <w:rsid w:val="00672921"/>
    <w:rsid w:val="00673814"/>
    <w:rsid w:val="00673D41"/>
    <w:rsid w:val="00675287"/>
    <w:rsid w:val="00675CBF"/>
    <w:rsid w:val="006809C3"/>
    <w:rsid w:val="0068658B"/>
    <w:rsid w:val="00686DE6"/>
    <w:rsid w:val="00692E4F"/>
    <w:rsid w:val="00696B0E"/>
    <w:rsid w:val="006A20BF"/>
    <w:rsid w:val="006A3A0E"/>
    <w:rsid w:val="006A4192"/>
    <w:rsid w:val="006A4D80"/>
    <w:rsid w:val="006A79EA"/>
    <w:rsid w:val="006B0A46"/>
    <w:rsid w:val="006B1DF7"/>
    <w:rsid w:val="006B3CAC"/>
    <w:rsid w:val="006B7003"/>
    <w:rsid w:val="006C0B76"/>
    <w:rsid w:val="006C2875"/>
    <w:rsid w:val="006C28D0"/>
    <w:rsid w:val="006C373F"/>
    <w:rsid w:val="006C3AC7"/>
    <w:rsid w:val="006C46BD"/>
    <w:rsid w:val="006C4FAA"/>
    <w:rsid w:val="006C511B"/>
    <w:rsid w:val="006C66CD"/>
    <w:rsid w:val="006D4CD9"/>
    <w:rsid w:val="006D6DA0"/>
    <w:rsid w:val="006E36CF"/>
    <w:rsid w:val="006E6B29"/>
    <w:rsid w:val="00703FC8"/>
    <w:rsid w:val="0070713E"/>
    <w:rsid w:val="0071309F"/>
    <w:rsid w:val="0071485E"/>
    <w:rsid w:val="00716F0B"/>
    <w:rsid w:val="0072073B"/>
    <w:rsid w:val="00722D87"/>
    <w:rsid w:val="007256EC"/>
    <w:rsid w:val="007257D0"/>
    <w:rsid w:val="00730D73"/>
    <w:rsid w:val="0073191C"/>
    <w:rsid w:val="007330C6"/>
    <w:rsid w:val="00746176"/>
    <w:rsid w:val="00756AC7"/>
    <w:rsid w:val="00756B00"/>
    <w:rsid w:val="007638C6"/>
    <w:rsid w:val="00765BA4"/>
    <w:rsid w:val="00766BB8"/>
    <w:rsid w:val="007725FD"/>
    <w:rsid w:val="00772B49"/>
    <w:rsid w:val="007744CF"/>
    <w:rsid w:val="00774B7C"/>
    <w:rsid w:val="00775EB1"/>
    <w:rsid w:val="00780226"/>
    <w:rsid w:val="00791F49"/>
    <w:rsid w:val="00792CE9"/>
    <w:rsid w:val="00793B92"/>
    <w:rsid w:val="007956FE"/>
    <w:rsid w:val="0079702C"/>
    <w:rsid w:val="007A1ACB"/>
    <w:rsid w:val="007A5B3B"/>
    <w:rsid w:val="007A6936"/>
    <w:rsid w:val="007A7B18"/>
    <w:rsid w:val="007B2072"/>
    <w:rsid w:val="007B21B8"/>
    <w:rsid w:val="007B70A5"/>
    <w:rsid w:val="007C0D21"/>
    <w:rsid w:val="007C1FAE"/>
    <w:rsid w:val="007D1C00"/>
    <w:rsid w:val="007D1EC4"/>
    <w:rsid w:val="007D6529"/>
    <w:rsid w:val="007D7B6D"/>
    <w:rsid w:val="007D7C74"/>
    <w:rsid w:val="007E15B1"/>
    <w:rsid w:val="007E233A"/>
    <w:rsid w:val="007E2B1C"/>
    <w:rsid w:val="007E3CCF"/>
    <w:rsid w:val="007E45FE"/>
    <w:rsid w:val="007E4D67"/>
    <w:rsid w:val="007E7DBE"/>
    <w:rsid w:val="007F52EF"/>
    <w:rsid w:val="007F5D74"/>
    <w:rsid w:val="008005F9"/>
    <w:rsid w:val="0080217C"/>
    <w:rsid w:val="00802C64"/>
    <w:rsid w:val="0080328E"/>
    <w:rsid w:val="00803A2C"/>
    <w:rsid w:val="00821BE7"/>
    <w:rsid w:val="00824529"/>
    <w:rsid w:val="00825B68"/>
    <w:rsid w:val="00840E14"/>
    <w:rsid w:val="00844A5E"/>
    <w:rsid w:val="00844CDB"/>
    <w:rsid w:val="00847B8B"/>
    <w:rsid w:val="00857E3F"/>
    <w:rsid w:val="0086213B"/>
    <w:rsid w:val="008651AC"/>
    <w:rsid w:val="0086628A"/>
    <w:rsid w:val="00866789"/>
    <w:rsid w:val="00867161"/>
    <w:rsid w:val="00870600"/>
    <w:rsid w:val="008708C5"/>
    <w:rsid w:val="00870A38"/>
    <w:rsid w:val="00870D4D"/>
    <w:rsid w:val="00871231"/>
    <w:rsid w:val="008714D5"/>
    <w:rsid w:val="00875C9D"/>
    <w:rsid w:val="00880409"/>
    <w:rsid w:val="00883080"/>
    <w:rsid w:val="00883118"/>
    <w:rsid w:val="00885C6A"/>
    <w:rsid w:val="0088673D"/>
    <w:rsid w:val="008909A1"/>
    <w:rsid w:val="00890FBB"/>
    <w:rsid w:val="00894886"/>
    <w:rsid w:val="00896479"/>
    <w:rsid w:val="0089720A"/>
    <w:rsid w:val="008B11A4"/>
    <w:rsid w:val="008B4E9E"/>
    <w:rsid w:val="008B7281"/>
    <w:rsid w:val="008C2C0A"/>
    <w:rsid w:val="008C57FD"/>
    <w:rsid w:val="008C758E"/>
    <w:rsid w:val="008C767C"/>
    <w:rsid w:val="008D21DA"/>
    <w:rsid w:val="008D4CC1"/>
    <w:rsid w:val="008E531D"/>
    <w:rsid w:val="008F0F96"/>
    <w:rsid w:val="008F2E41"/>
    <w:rsid w:val="008F764B"/>
    <w:rsid w:val="009029FE"/>
    <w:rsid w:val="00905E75"/>
    <w:rsid w:val="009068F3"/>
    <w:rsid w:val="00910007"/>
    <w:rsid w:val="009203DA"/>
    <w:rsid w:val="00921D75"/>
    <w:rsid w:val="00924762"/>
    <w:rsid w:val="009270AB"/>
    <w:rsid w:val="00932BA7"/>
    <w:rsid w:val="009378A1"/>
    <w:rsid w:val="009411C9"/>
    <w:rsid w:val="00941A58"/>
    <w:rsid w:val="009468FF"/>
    <w:rsid w:val="00951F51"/>
    <w:rsid w:val="009545B6"/>
    <w:rsid w:val="00956F1A"/>
    <w:rsid w:val="009633C7"/>
    <w:rsid w:val="0096405D"/>
    <w:rsid w:val="00965A19"/>
    <w:rsid w:val="00965EF4"/>
    <w:rsid w:val="009660CE"/>
    <w:rsid w:val="00972DC5"/>
    <w:rsid w:val="00972F28"/>
    <w:rsid w:val="0097538C"/>
    <w:rsid w:val="00981760"/>
    <w:rsid w:val="0098261D"/>
    <w:rsid w:val="009854C5"/>
    <w:rsid w:val="00990044"/>
    <w:rsid w:val="00990645"/>
    <w:rsid w:val="00991A31"/>
    <w:rsid w:val="00993D88"/>
    <w:rsid w:val="009A00BF"/>
    <w:rsid w:val="009A144D"/>
    <w:rsid w:val="009A4109"/>
    <w:rsid w:val="009A4CA7"/>
    <w:rsid w:val="009A5DAD"/>
    <w:rsid w:val="009A7126"/>
    <w:rsid w:val="009B0135"/>
    <w:rsid w:val="009B432D"/>
    <w:rsid w:val="009B5AF5"/>
    <w:rsid w:val="009B6F82"/>
    <w:rsid w:val="009B7875"/>
    <w:rsid w:val="009B79F0"/>
    <w:rsid w:val="009C3BA9"/>
    <w:rsid w:val="009C3CF1"/>
    <w:rsid w:val="009C5B93"/>
    <w:rsid w:val="009C7917"/>
    <w:rsid w:val="009D3A12"/>
    <w:rsid w:val="009E0BEF"/>
    <w:rsid w:val="009E0DBC"/>
    <w:rsid w:val="009E28D7"/>
    <w:rsid w:val="009E57C8"/>
    <w:rsid w:val="009F02E5"/>
    <w:rsid w:val="009F191A"/>
    <w:rsid w:val="009F1C8E"/>
    <w:rsid w:val="009F245D"/>
    <w:rsid w:val="009F25EE"/>
    <w:rsid w:val="009F3B5C"/>
    <w:rsid w:val="009F499E"/>
    <w:rsid w:val="00A00842"/>
    <w:rsid w:val="00A02444"/>
    <w:rsid w:val="00A02DCD"/>
    <w:rsid w:val="00A037B7"/>
    <w:rsid w:val="00A07255"/>
    <w:rsid w:val="00A11CF7"/>
    <w:rsid w:val="00A12811"/>
    <w:rsid w:val="00A12F3C"/>
    <w:rsid w:val="00A15F13"/>
    <w:rsid w:val="00A16649"/>
    <w:rsid w:val="00A16FB1"/>
    <w:rsid w:val="00A2053F"/>
    <w:rsid w:val="00A23AD3"/>
    <w:rsid w:val="00A26131"/>
    <w:rsid w:val="00A2771B"/>
    <w:rsid w:val="00A30DC8"/>
    <w:rsid w:val="00A3580E"/>
    <w:rsid w:val="00A409C0"/>
    <w:rsid w:val="00A42BA5"/>
    <w:rsid w:val="00A51571"/>
    <w:rsid w:val="00A55D3C"/>
    <w:rsid w:val="00A55F77"/>
    <w:rsid w:val="00A57DDA"/>
    <w:rsid w:val="00A6402F"/>
    <w:rsid w:val="00A66A2F"/>
    <w:rsid w:val="00A66A82"/>
    <w:rsid w:val="00A74AE9"/>
    <w:rsid w:val="00A775E4"/>
    <w:rsid w:val="00A77B62"/>
    <w:rsid w:val="00A81389"/>
    <w:rsid w:val="00A81494"/>
    <w:rsid w:val="00A82AB7"/>
    <w:rsid w:val="00A84E4A"/>
    <w:rsid w:val="00A8607C"/>
    <w:rsid w:val="00A91552"/>
    <w:rsid w:val="00A91DB3"/>
    <w:rsid w:val="00A9387D"/>
    <w:rsid w:val="00A93AB2"/>
    <w:rsid w:val="00A94B7F"/>
    <w:rsid w:val="00A97A0E"/>
    <w:rsid w:val="00AA0978"/>
    <w:rsid w:val="00AA5D66"/>
    <w:rsid w:val="00AA7134"/>
    <w:rsid w:val="00AB252A"/>
    <w:rsid w:val="00AB2A1B"/>
    <w:rsid w:val="00AB3362"/>
    <w:rsid w:val="00AC0684"/>
    <w:rsid w:val="00AC268C"/>
    <w:rsid w:val="00AD7FC9"/>
    <w:rsid w:val="00AE2B8E"/>
    <w:rsid w:val="00AE3433"/>
    <w:rsid w:val="00AE6632"/>
    <w:rsid w:val="00B00E61"/>
    <w:rsid w:val="00B0107B"/>
    <w:rsid w:val="00B01EC5"/>
    <w:rsid w:val="00B05860"/>
    <w:rsid w:val="00B134FB"/>
    <w:rsid w:val="00B149E3"/>
    <w:rsid w:val="00B15D79"/>
    <w:rsid w:val="00B16718"/>
    <w:rsid w:val="00B213BE"/>
    <w:rsid w:val="00B225A2"/>
    <w:rsid w:val="00B22A69"/>
    <w:rsid w:val="00B244D6"/>
    <w:rsid w:val="00B25734"/>
    <w:rsid w:val="00B30CE2"/>
    <w:rsid w:val="00B32C2D"/>
    <w:rsid w:val="00B34B32"/>
    <w:rsid w:val="00B430F8"/>
    <w:rsid w:val="00B4431C"/>
    <w:rsid w:val="00B5133C"/>
    <w:rsid w:val="00B54E24"/>
    <w:rsid w:val="00B5618E"/>
    <w:rsid w:val="00B63C66"/>
    <w:rsid w:val="00B642B4"/>
    <w:rsid w:val="00B70181"/>
    <w:rsid w:val="00B707BD"/>
    <w:rsid w:val="00B8230A"/>
    <w:rsid w:val="00B863B3"/>
    <w:rsid w:val="00B93415"/>
    <w:rsid w:val="00B964B1"/>
    <w:rsid w:val="00B96EB0"/>
    <w:rsid w:val="00BA15D2"/>
    <w:rsid w:val="00BA37FD"/>
    <w:rsid w:val="00BB1C7C"/>
    <w:rsid w:val="00BB1D9B"/>
    <w:rsid w:val="00BB1F81"/>
    <w:rsid w:val="00BB635C"/>
    <w:rsid w:val="00BC22C3"/>
    <w:rsid w:val="00BD210B"/>
    <w:rsid w:val="00BD64CE"/>
    <w:rsid w:val="00BD6598"/>
    <w:rsid w:val="00BE1E60"/>
    <w:rsid w:val="00BE2C82"/>
    <w:rsid w:val="00BE3109"/>
    <w:rsid w:val="00BE6C3B"/>
    <w:rsid w:val="00BF0465"/>
    <w:rsid w:val="00BF0B6C"/>
    <w:rsid w:val="00BF292F"/>
    <w:rsid w:val="00BF39A3"/>
    <w:rsid w:val="00BF6185"/>
    <w:rsid w:val="00C0026F"/>
    <w:rsid w:val="00C00DD7"/>
    <w:rsid w:val="00C02D8A"/>
    <w:rsid w:val="00C05ED3"/>
    <w:rsid w:val="00C0630F"/>
    <w:rsid w:val="00C12D79"/>
    <w:rsid w:val="00C25168"/>
    <w:rsid w:val="00C254B8"/>
    <w:rsid w:val="00C26234"/>
    <w:rsid w:val="00C275AC"/>
    <w:rsid w:val="00C32CED"/>
    <w:rsid w:val="00C332E4"/>
    <w:rsid w:val="00C333C6"/>
    <w:rsid w:val="00C34741"/>
    <w:rsid w:val="00C451E4"/>
    <w:rsid w:val="00C468DD"/>
    <w:rsid w:val="00C52295"/>
    <w:rsid w:val="00C553FB"/>
    <w:rsid w:val="00C556CB"/>
    <w:rsid w:val="00C61749"/>
    <w:rsid w:val="00C62784"/>
    <w:rsid w:val="00C648FC"/>
    <w:rsid w:val="00C70081"/>
    <w:rsid w:val="00C70265"/>
    <w:rsid w:val="00C70F3D"/>
    <w:rsid w:val="00C7131A"/>
    <w:rsid w:val="00C718DF"/>
    <w:rsid w:val="00C738CF"/>
    <w:rsid w:val="00C73C3C"/>
    <w:rsid w:val="00C75208"/>
    <w:rsid w:val="00C759F2"/>
    <w:rsid w:val="00C764C1"/>
    <w:rsid w:val="00C836F0"/>
    <w:rsid w:val="00C84BC6"/>
    <w:rsid w:val="00C94AC4"/>
    <w:rsid w:val="00C9642A"/>
    <w:rsid w:val="00C96731"/>
    <w:rsid w:val="00C971E6"/>
    <w:rsid w:val="00CA053A"/>
    <w:rsid w:val="00CA1415"/>
    <w:rsid w:val="00CA7948"/>
    <w:rsid w:val="00CB33E4"/>
    <w:rsid w:val="00CB36A0"/>
    <w:rsid w:val="00CB539E"/>
    <w:rsid w:val="00CC1D77"/>
    <w:rsid w:val="00CC2A09"/>
    <w:rsid w:val="00CD4998"/>
    <w:rsid w:val="00CD535D"/>
    <w:rsid w:val="00CE04C7"/>
    <w:rsid w:val="00CE0667"/>
    <w:rsid w:val="00CE122D"/>
    <w:rsid w:val="00CE1D09"/>
    <w:rsid w:val="00CE40EF"/>
    <w:rsid w:val="00CE4ECA"/>
    <w:rsid w:val="00CE6840"/>
    <w:rsid w:val="00CE75BB"/>
    <w:rsid w:val="00CE7A3A"/>
    <w:rsid w:val="00CF0E9A"/>
    <w:rsid w:val="00CF337F"/>
    <w:rsid w:val="00CF49F4"/>
    <w:rsid w:val="00CF527C"/>
    <w:rsid w:val="00D03E16"/>
    <w:rsid w:val="00D04B7F"/>
    <w:rsid w:val="00D05769"/>
    <w:rsid w:val="00D0591E"/>
    <w:rsid w:val="00D134E9"/>
    <w:rsid w:val="00D15832"/>
    <w:rsid w:val="00D16A56"/>
    <w:rsid w:val="00D1782C"/>
    <w:rsid w:val="00D23314"/>
    <w:rsid w:val="00D23A3D"/>
    <w:rsid w:val="00D23FD1"/>
    <w:rsid w:val="00D25D2B"/>
    <w:rsid w:val="00D270C6"/>
    <w:rsid w:val="00D27EA2"/>
    <w:rsid w:val="00D312A8"/>
    <w:rsid w:val="00D321F4"/>
    <w:rsid w:val="00D35596"/>
    <w:rsid w:val="00D35AC2"/>
    <w:rsid w:val="00D3661F"/>
    <w:rsid w:val="00D43C06"/>
    <w:rsid w:val="00D4454A"/>
    <w:rsid w:val="00D459DD"/>
    <w:rsid w:val="00D50F23"/>
    <w:rsid w:val="00D5144C"/>
    <w:rsid w:val="00D539E5"/>
    <w:rsid w:val="00D540ED"/>
    <w:rsid w:val="00D55B0E"/>
    <w:rsid w:val="00D57A03"/>
    <w:rsid w:val="00D57A40"/>
    <w:rsid w:val="00D60844"/>
    <w:rsid w:val="00D61C82"/>
    <w:rsid w:val="00D646D2"/>
    <w:rsid w:val="00D668D3"/>
    <w:rsid w:val="00D71765"/>
    <w:rsid w:val="00D72DCA"/>
    <w:rsid w:val="00D74A42"/>
    <w:rsid w:val="00D74F47"/>
    <w:rsid w:val="00D80255"/>
    <w:rsid w:val="00D93D18"/>
    <w:rsid w:val="00D94E95"/>
    <w:rsid w:val="00D96859"/>
    <w:rsid w:val="00DA0E25"/>
    <w:rsid w:val="00DA200F"/>
    <w:rsid w:val="00DA25D2"/>
    <w:rsid w:val="00DA57D1"/>
    <w:rsid w:val="00DA7C36"/>
    <w:rsid w:val="00DB1799"/>
    <w:rsid w:val="00DB373B"/>
    <w:rsid w:val="00DB688A"/>
    <w:rsid w:val="00DC2EBA"/>
    <w:rsid w:val="00DC5609"/>
    <w:rsid w:val="00DC5DFD"/>
    <w:rsid w:val="00DC5E93"/>
    <w:rsid w:val="00DD1DEC"/>
    <w:rsid w:val="00DD2692"/>
    <w:rsid w:val="00DD7653"/>
    <w:rsid w:val="00DE7BBD"/>
    <w:rsid w:val="00DF28C3"/>
    <w:rsid w:val="00DF2FDD"/>
    <w:rsid w:val="00DF3053"/>
    <w:rsid w:val="00DF30BF"/>
    <w:rsid w:val="00DF3A0A"/>
    <w:rsid w:val="00DF6828"/>
    <w:rsid w:val="00E05B8C"/>
    <w:rsid w:val="00E05F2D"/>
    <w:rsid w:val="00E07215"/>
    <w:rsid w:val="00E07859"/>
    <w:rsid w:val="00E172FF"/>
    <w:rsid w:val="00E17CEE"/>
    <w:rsid w:val="00E217F4"/>
    <w:rsid w:val="00E21F0A"/>
    <w:rsid w:val="00E22183"/>
    <w:rsid w:val="00E22C81"/>
    <w:rsid w:val="00E3029E"/>
    <w:rsid w:val="00E32A33"/>
    <w:rsid w:val="00E3342A"/>
    <w:rsid w:val="00E33743"/>
    <w:rsid w:val="00E36AE9"/>
    <w:rsid w:val="00E375A9"/>
    <w:rsid w:val="00E375BE"/>
    <w:rsid w:val="00E41410"/>
    <w:rsid w:val="00E43A7B"/>
    <w:rsid w:val="00E44C9E"/>
    <w:rsid w:val="00E454D2"/>
    <w:rsid w:val="00E50518"/>
    <w:rsid w:val="00E60655"/>
    <w:rsid w:val="00E63737"/>
    <w:rsid w:val="00E6723D"/>
    <w:rsid w:val="00E704D3"/>
    <w:rsid w:val="00E709AB"/>
    <w:rsid w:val="00E71B01"/>
    <w:rsid w:val="00E75984"/>
    <w:rsid w:val="00E83382"/>
    <w:rsid w:val="00E85C34"/>
    <w:rsid w:val="00E867C4"/>
    <w:rsid w:val="00E8797B"/>
    <w:rsid w:val="00E90143"/>
    <w:rsid w:val="00EA3ABB"/>
    <w:rsid w:val="00EB23C7"/>
    <w:rsid w:val="00EB6A25"/>
    <w:rsid w:val="00EB7295"/>
    <w:rsid w:val="00EC26EF"/>
    <w:rsid w:val="00EC64E2"/>
    <w:rsid w:val="00EC6C7C"/>
    <w:rsid w:val="00ED0720"/>
    <w:rsid w:val="00ED1B32"/>
    <w:rsid w:val="00ED3ADD"/>
    <w:rsid w:val="00EE266A"/>
    <w:rsid w:val="00EE5C4E"/>
    <w:rsid w:val="00EE6835"/>
    <w:rsid w:val="00EE6CA0"/>
    <w:rsid w:val="00EF5893"/>
    <w:rsid w:val="00F00BB3"/>
    <w:rsid w:val="00F01356"/>
    <w:rsid w:val="00F026EC"/>
    <w:rsid w:val="00F05F06"/>
    <w:rsid w:val="00F15A34"/>
    <w:rsid w:val="00F16B29"/>
    <w:rsid w:val="00F23A93"/>
    <w:rsid w:val="00F30C1F"/>
    <w:rsid w:val="00F3195E"/>
    <w:rsid w:val="00F36042"/>
    <w:rsid w:val="00F47A9C"/>
    <w:rsid w:val="00F51380"/>
    <w:rsid w:val="00F51581"/>
    <w:rsid w:val="00F52B49"/>
    <w:rsid w:val="00F54765"/>
    <w:rsid w:val="00F547D6"/>
    <w:rsid w:val="00F55F38"/>
    <w:rsid w:val="00F607FD"/>
    <w:rsid w:val="00F6525B"/>
    <w:rsid w:val="00F70DF6"/>
    <w:rsid w:val="00F737BB"/>
    <w:rsid w:val="00F73FC4"/>
    <w:rsid w:val="00F74E02"/>
    <w:rsid w:val="00F91550"/>
    <w:rsid w:val="00F9178B"/>
    <w:rsid w:val="00F929CF"/>
    <w:rsid w:val="00F95F5D"/>
    <w:rsid w:val="00FA030B"/>
    <w:rsid w:val="00FA5979"/>
    <w:rsid w:val="00FB00CF"/>
    <w:rsid w:val="00FB4F3B"/>
    <w:rsid w:val="00FB7BC7"/>
    <w:rsid w:val="00FC021A"/>
    <w:rsid w:val="00FC096B"/>
    <w:rsid w:val="00FC5596"/>
    <w:rsid w:val="00FC68E2"/>
    <w:rsid w:val="00FC757B"/>
    <w:rsid w:val="00FC7C38"/>
    <w:rsid w:val="00FD0375"/>
    <w:rsid w:val="00FD09C0"/>
    <w:rsid w:val="00FD3AEC"/>
    <w:rsid w:val="00FD4E0A"/>
    <w:rsid w:val="00FD762F"/>
    <w:rsid w:val="00FE19CB"/>
    <w:rsid w:val="00FE5C0B"/>
    <w:rsid w:val="00FF2060"/>
    <w:rsid w:val="00FF71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3E969"/>
  <w15:docId w15:val="{A4979A0D-8EF6-4361-8315-6ADB15F1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BR" w:eastAsia="pt-BR" w:bidi="pt-BR"/>
    </w:rPr>
  </w:style>
  <w:style w:type="paragraph" w:styleId="Ttulo1">
    <w:name w:val="heading 1"/>
    <w:basedOn w:val="Normal"/>
    <w:link w:val="Ttulo1Char"/>
    <w:uiPriority w:val="9"/>
    <w:qFormat/>
    <w:pPr>
      <w:ind w:left="20"/>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0"/>
      <w:ind w:left="833" w:hanging="358"/>
      <w:jc w:val="both"/>
    </w:pPr>
  </w:style>
  <w:style w:type="paragraph" w:customStyle="1" w:styleId="TableParagraph">
    <w:name w:val="Table Paragraph"/>
    <w:basedOn w:val="Normal"/>
    <w:uiPriority w:val="1"/>
    <w:qFormat/>
    <w:pPr>
      <w:ind w:left="110"/>
    </w:pPr>
  </w:style>
  <w:style w:type="paragraph" w:styleId="Cabealho">
    <w:name w:val="header"/>
    <w:basedOn w:val="Normal"/>
    <w:link w:val="CabealhoChar"/>
    <w:uiPriority w:val="99"/>
    <w:unhideWhenUsed/>
    <w:rsid w:val="001E73E7"/>
    <w:pPr>
      <w:tabs>
        <w:tab w:val="center" w:pos="4252"/>
        <w:tab w:val="right" w:pos="8504"/>
      </w:tabs>
    </w:pPr>
  </w:style>
  <w:style w:type="character" w:customStyle="1" w:styleId="CabealhoChar">
    <w:name w:val="Cabeçalho Char"/>
    <w:basedOn w:val="Fontepargpadro"/>
    <w:link w:val="Cabealho"/>
    <w:uiPriority w:val="99"/>
    <w:rsid w:val="001E73E7"/>
    <w:rPr>
      <w:rFonts w:ascii="Arial" w:eastAsia="Arial" w:hAnsi="Arial" w:cs="Arial"/>
      <w:lang w:val="pt-BR" w:eastAsia="pt-BR" w:bidi="pt-BR"/>
    </w:rPr>
  </w:style>
  <w:style w:type="paragraph" w:styleId="Rodap">
    <w:name w:val="footer"/>
    <w:basedOn w:val="Normal"/>
    <w:link w:val="RodapChar"/>
    <w:uiPriority w:val="99"/>
    <w:unhideWhenUsed/>
    <w:rsid w:val="001E73E7"/>
    <w:pPr>
      <w:tabs>
        <w:tab w:val="center" w:pos="4252"/>
        <w:tab w:val="right" w:pos="8504"/>
      </w:tabs>
    </w:pPr>
  </w:style>
  <w:style w:type="character" w:customStyle="1" w:styleId="RodapChar">
    <w:name w:val="Rodapé Char"/>
    <w:basedOn w:val="Fontepargpadro"/>
    <w:link w:val="Rodap"/>
    <w:uiPriority w:val="99"/>
    <w:rsid w:val="001E73E7"/>
    <w:rPr>
      <w:rFonts w:ascii="Arial" w:eastAsia="Arial" w:hAnsi="Arial" w:cs="Arial"/>
      <w:lang w:val="pt-BR" w:eastAsia="pt-BR" w:bidi="pt-BR"/>
    </w:rPr>
  </w:style>
  <w:style w:type="character" w:styleId="Hyperlink">
    <w:name w:val="Hyperlink"/>
    <w:basedOn w:val="Fontepargpadro"/>
    <w:uiPriority w:val="99"/>
    <w:unhideWhenUsed/>
    <w:rsid w:val="00A66A2F"/>
    <w:rPr>
      <w:color w:val="0000FF" w:themeColor="hyperlink"/>
      <w:u w:val="single"/>
    </w:rPr>
  </w:style>
  <w:style w:type="character" w:styleId="MenoPendente">
    <w:name w:val="Unresolved Mention"/>
    <w:basedOn w:val="Fontepargpadro"/>
    <w:uiPriority w:val="99"/>
    <w:semiHidden/>
    <w:unhideWhenUsed/>
    <w:rsid w:val="00A66A2F"/>
    <w:rPr>
      <w:color w:val="605E5C"/>
      <w:shd w:val="clear" w:color="auto" w:fill="E1DFDD"/>
    </w:rPr>
  </w:style>
  <w:style w:type="character" w:customStyle="1" w:styleId="Ttulo1Char">
    <w:name w:val="Título 1 Char"/>
    <w:basedOn w:val="Fontepargpadro"/>
    <w:link w:val="Ttulo1"/>
    <w:uiPriority w:val="9"/>
    <w:rsid w:val="00626941"/>
    <w:rPr>
      <w:rFonts w:ascii="Arial" w:eastAsia="Arial" w:hAnsi="Arial" w:cs="Arial"/>
      <w:b/>
      <w:bCs/>
      <w:sz w:val="24"/>
      <w:szCs w:val="24"/>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1108</Words>
  <Characters>5985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Teles</dc:creator>
  <cp:lastModifiedBy>Marcelo Silveira</cp:lastModifiedBy>
  <cp:revision>108</cp:revision>
  <dcterms:created xsi:type="dcterms:W3CDTF">2023-09-04T14:13:00Z</dcterms:created>
  <dcterms:modified xsi:type="dcterms:W3CDTF">2023-09-06T15:40:00Z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Microsoft® Word 2019</vt:lpwstr>
  </property>
  <property fmtid="{D5CDD505-2E9C-101B-9397-08002B2CF9AE}" pid="4" name="LastSaved">
    <vt:filetime>2021-02-01T00:00:00Z</vt:filetime>
  </property>
</Properties>
</file>